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:rsidR="00E961FB" w:rsidRPr="009955F8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E961FB" w:rsidTr="00250F13">
            <w:tc>
              <w:tcPr>
                <w:tcW w:w="4672" w:type="dxa"/>
              </w:tcPr>
              <w:p w:rsidR="00E961FB" w:rsidRPr="003E7D31" w:rsidRDefault="00E961FB" w:rsidP="0025150C">
                <w:pPr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  <w:r w:rsidRPr="003E7D31"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  <w:t>Утверждаю</w:t>
                </w:r>
              </w:p>
              <w:p w:rsidR="00E961FB" w:rsidRPr="00854335" w:rsidRDefault="00854335" w:rsidP="00854335">
                <w:pPr>
                  <w:rPr>
                    <w:rFonts w:ascii="Times New Roman" w:eastAsia="Arial Unicode MS" w:hAnsi="Times New Roman" w:cs="Times New Roman"/>
                    <w:sz w:val="24"/>
                    <w:szCs w:val="28"/>
                  </w:rPr>
                </w:pPr>
                <w:r w:rsidRPr="00854335">
                  <w:rPr>
                    <w:rFonts w:ascii="Times New Roman" w:eastAsia="Arial Unicode MS" w:hAnsi="Times New Roman" w:cs="Times New Roman"/>
                    <w:sz w:val="36"/>
                    <w:szCs w:val="40"/>
                  </w:rPr>
                  <w:t xml:space="preserve">Залялова А.Г. </w:t>
                </w:r>
              </w:p>
              <w:p w:rsidR="00E961FB" w:rsidRDefault="00E961FB" w:rsidP="0025150C">
                <w:pP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</w:pPr>
                <w: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  <w:t>___________________</w:t>
                </w:r>
              </w:p>
              <w:p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E961FB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(подпись)</w:t>
                </w:r>
              </w:p>
            </w:tc>
            <w:tc>
              <w:tcPr>
                <w:tcW w:w="4673" w:type="dxa"/>
              </w:tcPr>
              <w:p w:rsidR="00E961FB" w:rsidRPr="00E961FB" w:rsidRDefault="00435F60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9955F8">
                  <w:rPr>
                    <w:rFonts w:ascii="Times New Roman" w:hAnsi="Times New Roman" w:cs="Times New Roman"/>
                    <w:noProof/>
                    <w:sz w:val="72"/>
                    <w:szCs w:val="72"/>
                    <w:lang w:eastAsia="ru-RU"/>
                  </w:rPr>
                  <w:drawing>
                    <wp:anchor distT="0" distB="0" distL="114300" distR="114300" simplePos="0" relativeHeight="251658239" behindDoc="1" locked="0" layoutInCell="1" allowOverlap="1" wp14:anchorId="3F3395E5" wp14:editId="390A36FA">
                      <wp:simplePos x="0" y="0"/>
                      <wp:positionH relativeFrom="margin">
                        <wp:posOffset>1972945</wp:posOffset>
                      </wp:positionH>
                      <wp:positionV relativeFrom="page">
                        <wp:posOffset>-318770</wp:posOffset>
                      </wp:positionV>
                      <wp:extent cx="1904400" cy="1393200"/>
                      <wp:effectExtent l="0" t="0" r="0" b="0"/>
                      <wp:wrapNone/>
                      <wp:docPr id="7" name="Рисунок 7" descr="C:\Users\A.Platko\AppData\Local\Microsoft\Windows\INetCache\Content.Word\lands(red)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A.Platko\AppData\Local\Microsoft\Windows\INetCache\Content.Word\lands(red).png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3623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04400" cy="1393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E961FB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E961FB" w:rsidRPr="009955F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:rsidR="00E961FB" w:rsidRPr="009955F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1312" behindDoc="1" locked="0" layoutInCell="1" allowOverlap="1" wp14:anchorId="57EBE4EB" wp14:editId="0FB9EBE2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854335">
            <w:rPr>
              <w:rFonts w:ascii="Times New Roman" w:eastAsia="Arial Unicode MS" w:hAnsi="Times New Roman" w:cs="Times New Roman"/>
              <w:color w:val="FF0000"/>
              <w:sz w:val="56"/>
              <w:szCs w:val="56"/>
            </w:rPr>
            <w:t>Дошкольное воспитание</w:t>
          </w:r>
        </w:p>
        <w:p w:rsidR="00E961FB" w:rsidRDefault="00E961FB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854335" w:rsidRDefault="00854335" w:rsidP="00854335">
          <w:pPr>
            <w:spacing w:after="0" w:line="24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854335" w:rsidRPr="00854335" w:rsidRDefault="00854335" w:rsidP="00854335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0A6438" w:rsidRDefault="000A6438" w:rsidP="00854335">
          <w:pPr>
            <w:keepNext/>
            <w:keepLines/>
            <w:spacing w:after="0" w:line="360" w:lineRule="auto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keepNext/>
            <w:keepLines/>
            <w:spacing w:after="0" w:line="360" w:lineRule="auto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 w:rsidRPr="00854335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t>Оглавление</w:t>
          </w:r>
        </w:p>
        <w:p w:rsidR="00854335" w:rsidRPr="00854335" w:rsidRDefault="00854335" w:rsidP="00854335">
          <w:pPr>
            <w:tabs>
              <w:tab w:val="right" w:leader="dot" w:pos="9911"/>
            </w:tabs>
            <w:spacing w:after="0" w:line="360" w:lineRule="auto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begin"/>
          </w: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instrText xml:space="preserve"> TOC \o "1-3" \h \z \u </w:instrText>
          </w: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separate"/>
          </w:r>
          <w:hyperlink w:anchor="_Toc507427594" w:history="1">
            <w:r w:rsidRPr="00854335">
              <w:rPr>
                <w:rFonts w:ascii="Times New Roman" w:eastAsia="Calibri" w:hAnsi="Times New Roman" w:cs="Times New Roman"/>
                <w:noProof/>
                <w:color w:val="0000FF"/>
                <w:sz w:val="20"/>
                <w:szCs w:val="20"/>
                <w:u w:val="single"/>
                <w:lang w:eastAsia="ru-RU"/>
              </w:rPr>
              <w:t>Программа инструктажа по охране труда и технике безопасности</w:t>
            </w:r>
            <w:r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_Toc507427594 \h </w:instrText>
            </w:r>
            <w:r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2</w:t>
            </w:r>
            <w:r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854335" w:rsidRPr="00854335" w:rsidRDefault="007C53A1" w:rsidP="00854335">
          <w:pPr>
            <w:tabs>
              <w:tab w:val="right" w:leader="dot" w:pos="9911"/>
            </w:tabs>
            <w:spacing w:after="0" w:line="360" w:lineRule="auto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595" w:history="1">
            <w:r w:rsidR="00854335" w:rsidRPr="00854335">
              <w:rPr>
                <w:rFonts w:ascii="Times New Roman" w:eastAsia="Calibri" w:hAnsi="Times New Roman" w:cs="Times New Roman"/>
                <w:noProof/>
                <w:color w:val="0000FF"/>
                <w:sz w:val="20"/>
                <w:szCs w:val="20"/>
                <w:u w:val="single"/>
                <w:lang w:eastAsia="ru-RU"/>
              </w:rPr>
              <w:t xml:space="preserve">Инструкция по охране труда для участников </w:t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_Toc507427595 \h </w:instrText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3</w:t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854335" w:rsidRPr="00854335" w:rsidRDefault="007C53A1" w:rsidP="00854335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6" w:history="1">
            <w:r w:rsidR="00854335" w:rsidRPr="00854335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1.Общие требования охраны труда</w:t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_Toc507427596 \h </w:instrText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3</w:t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854335" w:rsidRPr="00854335" w:rsidRDefault="007C53A1" w:rsidP="00854335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7" w:history="1">
            <w:r w:rsidR="00854335" w:rsidRPr="00854335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2.Требования охраны труда перед началом работы</w:t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_Toc507427597 \h </w:instrText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6</w:t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854335" w:rsidRPr="00854335" w:rsidRDefault="007C53A1" w:rsidP="00854335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8" w:history="1">
            <w:r w:rsidR="00854335" w:rsidRPr="00854335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3.Требования охраны труда во время работы</w:t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_Toc507427598 \h </w:instrText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8</w:t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854335" w:rsidRPr="00854335" w:rsidRDefault="007C53A1" w:rsidP="00854335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9" w:history="1">
            <w:r w:rsidR="00854335" w:rsidRPr="00854335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4. Требования охраны труда в аварийных ситуациях</w:t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_Toc507427599 \h </w:instrText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8</w:t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854335" w:rsidRPr="00854335" w:rsidRDefault="007C53A1" w:rsidP="00854335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600" w:history="1">
            <w:r w:rsidR="00854335" w:rsidRPr="00854335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5.Требование охраны труда по окончании работ</w:t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_Toc507427600 \h </w:instrText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9</w:t>
            </w:r>
            <w:r w:rsidR="00854335" w:rsidRPr="00854335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854335" w:rsidRPr="00854335" w:rsidRDefault="007C53A1" w:rsidP="00854335">
          <w:pPr>
            <w:tabs>
              <w:tab w:val="right" w:leader="dot" w:pos="9911"/>
            </w:tabs>
            <w:spacing w:after="0" w:line="360" w:lineRule="auto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1" w:history="1">
            <w:r w:rsidR="00854335" w:rsidRPr="00854335">
              <w:rPr>
                <w:rFonts w:ascii="Times New Roman" w:eastAsia="Calibri" w:hAnsi="Times New Roman" w:cs="Times New Roman"/>
                <w:noProof/>
                <w:color w:val="0000FF"/>
                <w:sz w:val="20"/>
                <w:szCs w:val="20"/>
                <w:u w:val="single"/>
                <w:lang w:eastAsia="ru-RU"/>
              </w:rPr>
              <w:t>Инструкция по охране труда для экспертов</w:t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_Toc507427601 \h </w:instrText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10</w:t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854335" w:rsidRPr="00854335" w:rsidRDefault="007C53A1" w:rsidP="00854335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2" w:history="1">
            <w:r w:rsidR="00854335" w:rsidRPr="00854335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1.Общие требования охраны труда</w:t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_Toc507427602 \h </w:instrText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10</w:t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854335" w:rsidRPr="00854335" w:rsidRDefault="007C53A1" w:rsidP="00854335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3" w:history="1">
            <w:r w:rsidR="00854335" w:rsidRPr="00854335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2.Требования охраны труда перед началом работы</w:t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_Toc507427603 \h </w:instrText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11</w:t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854335" w:rsidRPr="00854335" w:rsidRDefault="007C53A1" w:rsidP="00854335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4" w:history="1">
            <w:r w:rsidR="00854335" w:rsidRPr="00854335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3.Требования охраны труда во время работы</w:t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_Toc507427604 \h </w:instrText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12</w:t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854335" w:rsidRPr="00854335" w:rsidRDefault="007C53A1" w:rsidP="00854335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5" w:history="1">
            <w:r w:rsidR="00854335" w:rsidRPr="00854335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4. Требования охраны труда в аварийных ситуациях</w:t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_Toc507427605 \h </w:instrText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13</w:t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854335" w:rsidRPr="00854335" w:rsidRDefault="007C53A1" w:rsidP="00854335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lang w:eastAsia="ru-RU"/>
            </w:rPr>
          </w:pPr>
          <w:hyperlink w:anchor="_Toc507427606" w:history="1">
            <w:r w:rsidR="00854335" w:rsidRPr="00854335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5.Требование охраны труда по окончании работ</w:t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_Toc507427606 \h </w:instrText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14</w:t>
            </w:r>
            <w:r w:rsidR="00854335" w:rsidRPr="00854335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854335" w:rsidRPr="00854335" w:rsidRDefault="00854335" w:rsidP="00854335">
          <w:pPr>
            <w:spacing w:after="0" w:line="36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b/>
              <w:bCs/>
              <w:sz w:val="24"/>
              <w:szCs w:val="24"/>
              <w:lang w:eastAsia="ru-RU"/>
            </w:rPr>
            <w:fldChar w:fldCharType="end"/>
          </w:r>
        </w:p>
        <w:p w:rsidR="00854335" w:rsidRPr="00854335" w:rsidRDefault="00854335" w:rsidP="00854335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Calibri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br w:type="page"/>
          </w:r>
          <w:bookmarkStart w:id="1" w:name="_Toc507427594"/>
          <w:r w:rsidRPr="00854335">
            <w:rPr>
              <w:rFonts w:ascii="Times New Roman" w:eastAsia="Calibri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lastRenderedPageBreak/>
            <w:t>Инструктаж по охране труда и технике безопасности</w:t>
          </w:r>
          <w:bookmarkEnd w:id="1"/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 Время начала и окончания проведения конкурсных заданий, нахождение посторонних лиц на площадке.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3. Контроль требований охраны труда участниками и экспертами. </w:t>
          </w:r>
          <w:r w:rsidRPr="00854335">
            <w:rPr>
              <w:rFonts w:ascii="Times New Roman" w:eastAsia="Calibri" w:hAnsi="Times New Roman" w:cs="Times New Roman"/>
              <w:i/>
              <w:sz w:val="24"/>
              <w:szCs w:val="24"/>
              <w:lang w:eastAsia="ru-RU"/>
            </w:rPr>
            <w:t>Механизм начисления штрафных баллов</w:t>
          </w: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за нарушения требований охраны труда.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6. Основные требования санитарии и личной гигиены.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7. Средства индивидуальной и коллективной защиты, необходимость их использования.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854335" w:rsidRPr="00854335" w:rsidRDefault="00854335" w:rsidP="00854335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Calibri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br w:type="page"/>
          </w:r>
          <w:bookmarkStart w:id="2" w:name="_Toc507427595"/>
          <w:r w:rsidRPr="00854335">
            <w:rPr>
              <w:rFonts w:ascii="Times New Roman" w:eastAsia="Calibri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lastRenderedPageBreak/>
            <w:t xml:space="preserve">Программа инструктажа по охране труда для участников </w:t>
          </w:r>
          <w:bookmarkEnd w:id="2"/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val="x-none" w:eastAsia="x-none"/>
            </w:rPr>
          </w:pPr>
          <w:bookmarkStart w:id="3" w:name="_Toc507427596"/>
          <w:r w:rsidRPr="00854335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val="x-none" w:eastAsia="x-none"/>
            </w:rPr>
            <w:t>1.Общие требования охраны труда</w:t>
          </w:r>
          <w:bookmarkEnd w:id="3"/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Для участников до 14 лет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выполнению конкурсного задания, под непосредственным руководством Экспертов, Компетенции «Дошкольное воспитание» по стандартам «WorldSkills» допускаются участники в возрасте до 14 лет: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ознакомленные с инструкцией по охране труда;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имеющие необходимые навыки по эксплуатации образовательного оборудования;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имеющие противопоказаний к выполнению конкурсных заданий по состоянию здоровья.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Для участников от 14 до 17 лет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участию в конкурсе, под непосредственным руководством Компетенции «Дошкольное воспитание» по стандартам «WorldSkills» допускаются участники в возрасте от 14 до 16 лет: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ознакомленные с инструкцией по охране труда;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имеющие необходимые навыки по эксплуатации образовательного оборудования 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имеющие противопоказаний к выполнению конкурсных заданий по состоянию здоровья.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Для участников старше 18 лет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самостоятельному выполнению конкурсных заданий в Компетенции «Кузовной ремонт» по стандартам «WorldSkills» допускаются участники не моложе 18 лет;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ознакомленные с инструкцией по охране труда;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имеющие необходимые навыки по эксплуатации образовательного оборудования 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имеющие противопоказаний к выполнению конкурсных заданий по состоянию здоровья.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 xml:space="preserve">- инструкции по охране труда и технике безопасности; 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заходить за ограждения и в технические помещения;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личную гигиену;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принимать пищу в строго отведенных местах;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самостоятельно использовать инструментарий и оборудование разрешенное к выполнению конкурсного задания;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1.3. Участник возрастной группы 10-17 для выполнения конкурсного задания использует инструмент: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4644"/>
            <w:gridCol w:w="5493"/>
          </w:tblGrid>
          <w:tr w:rsidR="00854335" w:rsidRPr="00854335" w:rsidTr="001304CB">
            <w:tc>
              <w:tcPr>
                <w:tcW w:w="10137" w:type="dxa"/>
                <w:gridSpan w:val="2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</w:t>
                </w:r>
              </w:p>
            </w:tc>
          </w:tr>
          <w:tr w:rsidR="00854335" w:rsidRPr="00854335" w:rsidTr="001304CB">
            <w:tc>
              <w:tcPr>
                <w:tcW w:w="4644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использует самостоятельно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854335" w:rsidRPr="00854335" w:rsidTr="001304CB">
            <w:tc>
              <w:tcPr>
                <w:tcW w:w="4644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Персональный ноутбук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Мобильный передвижной купол</w:t>
                </w:r>
              </w:p>
            </w:tc>
          </w:tr>
          <w:tr w:rsidR="00854335" w:rsidRPr="00854335" w:rsidTr="001304CB">
            <w:tc>
              <w:tcPr>
                <w:tcW w:w="4644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Блоки Дьенеша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Интерактивная доска</w:t>
                </w:r>
              </w:p>
            </w:tc>
          </w:tr>
          <w:tr w:rsidR="00854335" w:rsidRPr="00854335" w:rsidTr="001304CB">
            <w:tc>
              <w:tcPr>
                <w:tcW w:w="4644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Палочки Киюзинера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Интерактивный стол</w:t>
                </w:r>
              </w:p>
            </w:tc>
          </w:tr>
          <w:tr w:rsidR="00854335" w:rsidRPr="00854335" w:rsidTr="001304CB">
            <w:tc>
              <w:tcPr>
                <w:tcW w:w="4644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Набор для ПДД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Интерактивные кубы</w:t>
                </w:r>
              </w:p>
            </w:tc>
          </w:tr>
          <w:tr w:rsidR="00854335" w:rsidRPr="00854335" w:rsidTr="001304CB">
            <w:tc>
              <w:tcPr>
                <w:tcW w:w="4644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Краски  акварель и гуашь и набор кистей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4644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Степлер и скобы для стелера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4644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Клей ПВА и момент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4644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Дырокол 6мм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4644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Набор фигурных и простых ножниц (по бумаге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4644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Кисть широкая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4644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Набор  и инструменты для квилинга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4644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 w:eastAsia="ru-RU"/>
                  </w:rPr>
                  <w:t>LEGO Education WeDo Construction Set Базовый набор № 9580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4644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 w:eastAsia="ru-RU"/>
                  </w:rPr>
                  <w:t>LEGO Education WeDo Construction Set Ресурсный набор № 9585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4644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Гарнитура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4644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Скотч двусторонний , плоский, объемный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4644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Цветная бумага и картон формата А4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4644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Стакан для рисования</w:t>
                </w:r>
              </w:p>
            </w:tc>
            <w:tc>
              <w:tcPr>
                <w:tcW w:w="5493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</w:tbl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1.4. Участник возрастной группы 18+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4805"/>
            <w:gridCol w:w="4540"/>
          </w:tblGrid>
          <w:tr w:rsidR="00854335" w:rsidRPr="00854335" w:rsidTr="001304CB">
            <w:tc>
              <w:tcPr>
                <w:tcW w:w="10137" w:type="dxa"/>
                <w:gridSpan w:val="2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оборудования</w:t>
                </w:r>
              </w:p>
            </w:tc>
          </w:tr>
          <w:tr w:rsidR="00854335" w:rsidRPr="00854335" w:rsidTr="001304CB">
            <w:tc>
              <w:tcPr>
                <w:tcW w:w="5211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использует самостоятельно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выполняет конкурсное задание совместно с экспертом </w:t>
                </w:r>
              </w:p>
            </w:tc>
          </w:tr>
          <w:tr w:rsidR="00854335" w:rsidRPr="00854335" w:rsidTr="001304CB">
            <w:tc>
              <w:tcPr>
                <w:tcW w:w="5211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Интерактивная доска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Интерактивные кубы</w:t>
                </w:r>
              </w:p>
            </w:tc>
          </w:tr>
          <w:tr w:rsidR="00854335" w:rsidRPr="00854335" w:rsidTr="001304CB">
            <w:tc>
              <w:tcPr>
                <w:tcW w:w="5211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Интерактивный стол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Мобильный передвижной купол</w:t>
                </w:r>
              </w:p>
            </w:tc>
          </w:tr>
          <w:tr w:rsidR="00854335" w:rsidRPr="00854335" w:rsidTr="001304CB">
            <w:tc>
              <w:tcPr>
                <w:tcW w:w="5211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Персональный ноутбук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5211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Блоки Дьенеша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5211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Палочки Киюзинера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5211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Набор для ПДД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5211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Краски  акварель и гуашь и набор кистей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5211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Набор фигурных и простых ножниц (по бумаге)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5211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Степлер и скобы для стелера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5211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Клей ПВА и момент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5211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Дырокол 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5211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Кисть широкая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5211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Набор  и инструменты для квилинга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5211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 w:eastAsia="ru-RU"/>
                  </w:rPr>
                  <w:t>LEGO Education WeDo Construction Set Базовый набор № 9580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5211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 w:eastAsia="ru-RU"/>
                  </w:rPr>
                  <w:t>LEGO Education WeDo Construction Set Ресурсный набор № 9585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5211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Гарнитура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5211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Скотч двусторонний , плоский, объемный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5211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Цветная бумага и картон формата А4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5211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Стакан для рисования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</w:tbl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Физические: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электрический ток;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шум, обусловленный конструкцией оргтехники;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шум, обусловленный присутствием волонтеров и детей на площадке;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химические вещества, выделяющиеся при работе оргтехники;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— зрительное перенапряжение при работе с ПК. 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режущие и колющие предметы.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термические ожоги.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Психологические: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-чрезмерное напряжение внимания;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-усиленная нагрузка на зрение, слух;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-повышенная ответственность.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1.6. Применяемые во время выполнения конкурсного задания средства индивидуальной защиты: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обувь с низким каблуком;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- наушники;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1.7. Знаки безопасности, используемые на рабочем месте, для обозначения присутствующих опасностей:</w:t>
          </w:r>
        </w:p>
        <w:p w:rsidR="00854335" w:rsidRPr="00854335" w:rsidRDefault="00854335" w:rsidP="0085433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</w:t>
          </w:r>
          <w:r w:rsidRPr="00854335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 F 04 Огнетушитель        </w:t>
          </w: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 </w:t>
          </w:r>
          <w:r w:rsidRPr="00854335"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447675" cy="438150"/>
                <wp:effectExtent l="0" t="0" r="9525" b="0"/>
                <wp:docPr id="10" name="Рисуно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854335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 E 22 Указатель выхода</w:t>
          </w: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</w:t>
          </w:r>
          <w:r w:rsidRPr="00854335"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771525" cy="409575"/>
                <wp:effectExtent l="0" t="0" r="9525" b="9525"/>
                <wp:docPr id="9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854335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E 23 Указатель запасного выхода</w:t>
          </w: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</w:t>
          </w:r>
          <w:r w:rsidRPr="00854335"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809625" cy="438150"/>
                <wp:effectExtent l="0" t="0" r="9525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854335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EC 01 Аптечка первой медицинской помощи      </w:t>
          </w: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  <w:r w:rsidRPr="00854335"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466725" cy="466725"/>
                <wp:effectExtent l="0" t="0" r="9525" b="9525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67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854335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P 01 Запрещается курить</w:t>
          </w: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</w:t>
          </w: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begin"/>
          </w: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instrText xml:space="preserve"> INCLUDEPICTURE "https://studfiles.net/html/2706/32/html_qBHtLJCsya.KhkT/img-9S7d9T.jpg" \* MERGEFORMATINET </w:instrText>
          </w: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separate"/>
          </w:r>
          <w:r w:rsidR="00F52F2D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begin"/>
          </w:r>
          <w:r w:rsidR="00F52F2D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instrText xml:space="preserve"> INCLUDEPICTURE  "https://studfiles.net/html/2706/32/html_qBHtLJCsya.KhkT/img-9S7d9T.jpg" \* MERGEFORMATINET </w:instrText>
          </w:r>
          <w:r w:rsidR="00F52F2D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separate"/>
          </w:r>
          <w:r w:rsidR="007C53A1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begin"/>
          </w:r>
          <w:r w:rsidR="007C53A1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instrText xml:space="preserve"> </w:instrText>
          </w:r>
          <w:r w:rsidR="007C53A1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instrText>INCLUDEPICTURE  "https://studfiles.net/html/2706/32/html_qBHtLJCsya.KhkT/img-9S7d9T.jpg" \* MERGEFORMATINET</w:instrText>
          </w:r>
          <w:r w:rsidR="007C53A1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instrText xml:space="preserve"> </w:instrText>
          </w:r>
          <w:r w:rsidR="007C53A1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separate"/>
          </w:r>
          <w:r w:rsidR="004604A6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9pt;height:39pt">
                <v:imagedata r:id="rId12" r:href="rId13"/>
              </v:shape>
            </w:pict>
          </w:r>
          <w:r w:rsidR="007C53A1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end"/>
          </w:r>
          <w:r w:rsidR="00F52F2D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end"/>
          </w: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end"/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1.8. 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Эксперт-компатриот.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1.9. Участники, допустившие невыполнение или нарушение инструкции по охране труда, привлекаются к ответственности в соответствии с Регламентом WorldSkills Russia.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x-none"/>
            </w:rPr>
          </w:pPr>
          <w:bookmarkStart w:id="4" w:name="_Toc507427597"/>
          <w:r w:rsidRPr="00854335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val="x-none" w:eastAsia="x-none"/>
            </w:rPr>
            <w:t xml:space="preserve">2.Требования охраны труда перед началом </w:t>
          </w:r>
          <w:bookmarkEnd w:id="4"/>
          <w:r w:rsidRPr="00854335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x-none"/>
            </w:rPr>
            <w:t>выполнения конкурсного задания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Перед началом выполнения конкурсного задания участники должны выполнить следующее: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</w:t>
          </w: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Проверить форму одежды и обувь и наушники. Одеть необходимые средства защиты для выполнения подготовки рабочих мест и образовательного оборудования.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2.2. Подготовить рабочее место: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произвести настройку оборудования;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2.3. Подготовить инструмент и оборудование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301"/>
            <w:gridCol w:w="6044"/>
          </w:tblGrid>
          <w:tr w:rsidR="00854335" w:rsidRPr="00854335" w:rsidTr="001304CB">
            <w:trPr>
              <w:tblHeader/>
            </w:trPr>
            <w:tc>
              <w:tcPr>
                <w:tcW w:w="3510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 или оборудования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Правила подготовки к выполнению конкурсного задания</w:t>
                </w:r>
              </w:p>
            </w:tc>
          </w:tr>
          <w:tr w:rsidR="00854335" w:rsidRPr="00854335" w:rsidTr="001304CB">
            <w:tc>
              <w:tcPr>
                <w:tcW w:w="3510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Персональные компьютеры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854335" w:rsidRPr="00854335" w:rsidRDefault="00854335" w:rsidP="00854335">
                <w:pPr>
                  <w:shd w:val="clear" w:color="auto" w:fill="FEFEFE"/>
                  <w:spacing w:after="0" w:line="240" w:lineRule="auto"/>
                  <w:ind w:left="115" w:right="115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ahoma" w:eastAsia="Times New Roman" w:hAnsi="Tahoma" w:cs="Tahoma"/>
                    <w:color w:val="222222"/>
                    <w:sz w:val="18"/>
                    <w:szCs w:val="18"/>
                    <w:lang w:eastAsia="ru-RU"/>
                  </w:rPr>
                  <w:t>-  </w:t>
                </w: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проверить целостность инструментария и образовательного оборудования:</w:t>
                </w:r>
              </w:p>
              <w:p w:rsidR="00854335" w:rsidRPr="00854335" w:rsidRDefault="00854335" w:rsidP="00854335">
                <w:pPr>
                  <w:shd w:val="clear" w:color="auto" w:fill="FEFEFE"/>
                  <w:spacing w:after="0" w:line="240" w:lineRule="auto"/>
                  <w:ind w:left="115" w:right="115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проверить (визуально) правильность подключения образовательного оборудования в электросеть</w:t>
                </w:r>
              </w:p>
            </w:tc>
          </w:tr>
          <w:tr w:rsidR="00854335" w:rsidRPr="00854335" w:rsidTr="001304CB">
            <w:tc>
              <w:tcPr>
                <w:tcW w:w="3510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Интерактивное образовательное оборудование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(визуально) правильность подключения образовательного оборудования в электросеть.</w:t>
                </w:r>
              </w:p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3510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Спортивное оборудование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надежность спортивного оборудования, отсутствие посторонних предметов на имитационной игровой площадке или имитационной группе детского сада.</w:t>
                </w:r>
              </w:p>
            </w:tc>
          </w:tr>
          <w:tr w:rsidR="00854335" w:rsidRPr="00854335" w:rsidTr="001304CB">
            <w:tc>
              <w:tcPr>
                <w:tcW w:w="3510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Индивидуальное оборудование: ножницы и расходные материалы клей, краски, бумага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-хранить ножницы необходимо в тулбоксе;</w:t>
                </w:r>
              </w:p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исправность и наличие.</w:t>
                </w:r>
              </w:p>
            </w:tc>
          </w:tr>
        </w:tbl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и привести в порядок рабочее место, проверить тулбокс;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убедиться в достаточности освещенности;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проверить (визуально) правильность подключения образовательного оборудования в электросеть.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2.6. Подготовить необходимые для работы материалы, инструментарий, и разложить их на свои места, убрать с рабочего стола все лишнее.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x-none"/>
            </w:rPr>
          </w:pPr>
          <w:bookmarkStart w:id="5" w:name="_Toc507427598"/>
          <w:r w:rsidRPr="00854335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val="x-none" w:eastAsia="x-none"/>
            </w:rPr>
            <w:t xml:space="preserve">3.Требования охраны труда во время </w:t>
          </w:r>
          <w:bookmarkEnd w:id="5"/>
          <w:r w:rsidRPr="00854335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x-none"/>
            </w:rPr>
            <w:t>выполнения конкурсного задания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077"/>
            <w:gridCol w:w="7268"/>
          </w:tblGrid>
          <w:tr w:rsidR="00854335" w:rsidRPr="00854335" w:rsidTr="001304CB">
            <w:trPr>
              <w:tblHeader/>
            </w:trPr>
            <w:tc>
              <w:tcPr>
                <w:tcW w:w="2093" w:type="dxa"/>
                <w:shd w:val="clear" w:color="auto" w:fill="auto"/>
                <w:vAlign w:val="center"/>
              </w:tcPr>
              <w:p w:rsidR="00854335" w:rsidRPr="00854335" w:rsidRDefault="00854335" w:rsidP="0085433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инструмента/ оборудования</w:t>
                </w:r>
              </w:p>
            </w:tc>
            <w:tc>
              <w:tcPr>
                <w:tcW w:w="7796" w:type="dxa"/>
                <w:shd w:val="clear" w:color="auto" w:fill="auto"/>
                <w:vAlign w:val="center"/>
              </w:tcPr>
              <w:p w:rsidR="00854335" w:rsidRPr="00854335" w:rsidRDefault="00854335" w:rsidP="0085433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Требования безопасности</w:t>
                </w:r>
              </w:p>
            </w:tc>
          </w:tr>
          <w:tr w:rsidR="00854335" w:rsidRPr="00854335" w:rsidTr="001304CB">
            <w:tc>
              <w:tcPr>
                <w:tcW w:w="2093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Персональные компьютеры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854335" w:rsidRPr="00854335" w:rsidRDefault="00854335" w:rsidP="00854335">
                <w:pPr>
                  <w:shd w:val="clear" w:color="auto" w:fill="FFFFFF"/>
                  <w:spacing w:after="0" w:line="240" w:lineRule="auto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изображение на экранах видеомониторов должно быть стабильным, ясным и предельно четким, не иметь мерцаний символов и фона,</w:t>
                </w:r>
              </w:p>
              <w:p w:rsidR="00854335" w:rsidRPr="00854335" w:rsidRDefault="00854335" w:rsidP="00854335">
                <w:pPr>
                  <w:shd w:val="clear" w:color="auto" w:fill="FFFFFF"/>
                  <w:spacing w:after="0" w:line="240" w:lineRule="auto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 на экранах не должно быть бликов и отражений светильников, окон и окружающих предметов.</w:t>
                </w:r>
              </w:p>
              <w:p w:rsidR="00854335" w:rsidRPr="00854335" w:rsidRDefault="00854335" w:rsidP="00854335">
                <w:pPr>
                  <w:shd w:val="clear" w:color="auto" w:fill="FFFFFF"/>
                  <w:spacing w:after="0" w:line="240" w:lineRule="auto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обращать внимание на символы, высвечивающиеся на панели оборудования, не игнорировать их;</w:t>
                </w:r>
              </w:p>
              <w:p w:rsidR="00854335" w:rsidRPr="00854335" w:rsidRDefault="00854335" w:rsidP="00854335">
                <w:pPr>
                  <w:shd w:val="clear" w:color="auto" w:fill="FFFFFF"/>
                  <w:spacing w:after="0" w:line="240" w:lineRule="auto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не производить включение/выключение аппаратов мокрыми руками;</w:t>
                </w:r>
              </w:p>
              <w:p w:rsidR="00854335" w:rsidRPr="00854335" w:rsidRDefault="00854335" w:rsidP="00854335">
                <w:pPr>
                  <w:shd w:val="clear" w:color="auto" w:fill="FFFFFF"/>
                  <w:spacing w:after="0" w:line="240" w:lineRule="auto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- не ставить на устройство емкости с водой, не класть металлические предметы; </w:t>
                </w:r>
              </w:p>
              <w:p w:rsidR="00854335" w:rsidRPr="00854335" w:rsidRDefault="00854335" w:rsidP="00854335">
                <w:pPr>
                  <w:shd w:val="clear" w:color="auto" w:fill="FFFFFF"/>
                  <w:spacing w:after="0" w:line="240" w:lineRule="auto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-не класть предметы на оборудование и дисплей; </w:t>
                </w:r>
              </w:p>
              <w:p w:rsidR="00854335" w:rsidRPr="00854335" w:rsidRDefault="00854335" w:rsidP="00854335">
                <w:pPr>
                  <w:shd w:val="clear" w:color="auto" w:fill="FFFFFF"/>
                  <w:spacing w:after="0" w:line="240" w:lineRule="auto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- не давить перьями и не стучать по интерактивной панели, не прислоняться к ней; - не эксплуатировать персональный компьютер, если его уронили или корпус был поврежден;</w:t>
                </w:r>
              </w:p>
              <w:p w:rsidR="00854335" w:rsidRPr="00854335" w:rsidRDefault="00854335" w:rsidP="00854335">
                <w:pPr>
                  <w:shd w:val="clear" w:color="auto" w:fill="FFFFFF"/>
                  <w:spacing w:after="0" w:line="240" w:lineRule="auto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-запрещается перемещать аппараты включенными в сеть;</w:t>
                </w:r>
              </w:p>
              <w:p w:rsidR="00854335" w:rsidRPr="00854335" w:rsidRDefault="00854335" w:rsidP="00854335">
                <w:pPr>
                  <w:shd w:val="clear" w:color="auto" w:fill="FFFFFF"/>
                  <w:spacing w:after="0" w:line="240" w:lineRule="auto"/>
                  <w:textAlignment w:val="baseline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не эксплуатировать аппарат, если он перегрелся, стал дымиться</w:t>
                </w:r>
              </w:p>
            </w:tc>
          </w:tr>
          <w:tr w:rsidR="00854335" w:rsidRPr="00854335" w:rsidTr="001304CB">
            <w:tc>
              <w:tcPr>
                <w:tcW w:w="2093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Интерактивное образовательное оборудование и оргтехника.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(визуально) правильность подключения образовательного оборудования в электросеть.</w:t>
                </w:r>
              </w:p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 -суммарное время непосредственной работы с интерактивным оборудованием и другой оргтехникой в течение конкурсного дня должно быть не более 6 часов.</w:t>
                </w:r>
              </w:p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      </w:r>
              </w:p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 эксплуатировать аппарат, если он перегрелся, стал дымиться, появился посторонний запах или звук;</w:t>
                </w:r>
              </w:p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- вынимать застрявшие листы можно только после отключения устройства из сети;</w:t>
                </w:r>
              </w:p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все работы по замене картриджей, бумаги можно производить только после отключения аппарата от сети;</w:t>
                </w:r>
              </w:p>
              <w:p w:rsidR="00854335" w:rsidRPr="00854335" w:rsidRDefault="00854335" w:rsidP="00854335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854335" w:rsidRPr="00854335" w:rsidTr="001304CB">
            <w:tc>
              <w:tcPr>
                <w:tcW w:w="2093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Спортивное оборудование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-при возникновении неисправности оборудования необходимо прекратить спортивное мероприятие или подвижную игру до полного устранения неисправности;</w:t>
                </w:r>
              </w:p>
            </w:tc>
          </w:tr>
          <w:tr w:rsidR="00854335" w:rsidRPr="00854335" w:rsidTr="001304CB">
            <w:tc>
              <w:tcPr>
                <w:tcW w:w="2093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Индивидуальное оборудование: ножницы и расходные материалы клей, краски, бумага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не оставлять лезвия ножниц открытыми; </w:t>
                </w:r>
              </w:p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не держать ножницы острыми частями вверх, и не использовать их при ослабленном центральном креплении; </w:t>
                </w:r>
              </w:p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работе ножницами внимательно следить за направлением резки. Не резать на ходу; </w:t>
                </w:r>
              </w:p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во время работы удерживать материал рукой так, чтобы пальцы другой руки были в стороне от лезвия. </w:t>
                </w:r>
              </w:p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наносить клей на поверхность изделия только кистью; </w:t>
                </w:r>
              </w:p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не допускать, чтобы клей попадал на пальцы рук, лицо, особенно глаза.  - при попадании клея в глаза надо немедленно промыть их в большом количестве воды; </w:t>
                </w:r>
              </w:p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- при работе с клеем пользоваться салфеткой; </w:t>
                </w:r>
              </w:p>
              <w:p w:rsidR="00854335" w:rsidRPr="00854335" w:rsidRDefault="00854335" w:rsidP="00854335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854335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по окончании работы обязательно вымыть руки и кисть.</w:t>
                </w:r>
              </w:p>
            </w:tc>
          </w:tr>
        </w:tbl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3.2. При выполнении конкурсных заданий и уборке рабочих мест: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настоящую инструкцию;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правила эксплуатации оборудования, инструментария, не подвергать их механическим ударам, не допускать падений;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поддерживать порядок и чистоту на рабочем месте;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образовательное оборудование и инструментарий располагать таким образом, чтобы исключалась возможность его скатывания и падения;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выполнять конкурсные задания только исправным инструментарием и образовательным оборудованием;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3.3. При неисправности инструментария и образовательного оборудования – прекратить выполнение конкурсного задания и сообщить об этом Эксперту, а в его отсутствие заместителю главного Эксперта.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val="x-none" w:eastAsia="x-none"/>
            </w:rPr>
          </w:pPr>
          <w:bookmarkStart w:id="6" w:name="_Toc507427599"/>
          <w:r w:rsidRPr="00854335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val="x-none" w:eastAsia="x-none"/>
            </w:rPr>
            <w:lastRenderedPageBreak/>
            <w:t>4. Требования охраны труда в аварийных ситуациях</w:t>
          </w:r>
          <w:bookmarkEnd w:id="6"/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val="x-none" w:eastAsia="x-none"/>
            </w:rPr>
          </w:pPr>
          <w:bookmarkStart w:id="7" w:name="_Toc507427600"/>
          <w:r w:rsidRPr="00854335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val="x-none" w:eastAsia="x-none"/>
            </w:rPr>
            <w:lastRenderedPageBreak/>
            <w:t>5.Требование охраны труда по окончании работ</w:t>
          </w:r>
          <w:bookmarkEnd w:id="7"/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После окончания работ каждый участник обязан: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5.1. Привести в порядок рабочее место. 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5.2. Убрать инструментарий в отведенное для хранений место (тулбокс и стелажи).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5.3. Отключить инструмент и оборудование от сети.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5.4.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854335" w:rsidRPr="00854335" w:rsidRDefault="00854335" w:rsidP="00854335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Calibri" w:hAnsi="Times New Roman" w:cs="Times New Roman"/>
              <w:b/>
              <w:bCs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br w:type="page"/>
          </w:r>
          <w:bookmarkStart w:id="8" w:name="_Toc507427601"/>
          <w:r w:rsidRPr="00854335">
            <w:rPr>
              <w:rFonts w:ascii="Times New Roman" w:eastAsia="Calibri" w:hAnsi="Times New Roman" w:cs="Times New Roman"/>
              <w:b/>
              <w:bCs/>
              <w:sz w:val="24"/>
              <w:szCs w:val="24"/>
              <w:lang w:eastAsia="ru-RU"/>
            </w:rPr>
            <w:lastRenderedPageBreak/>
            <w:t>Инструкция по охране труда для экспертов</w:t>
          </w:r>
          <w:bookmarkEnd w:id="8"/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9" w:name="_Toc507427602"/>
          <w:r w:rsidRPr="00854335"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  <w:t>1.Общие требования охраны труда</w:t>
          </w:r>
          <w:bookmarkEnd w:id="9"/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работе в качестве эксперта Компетенции «Дошкольное воспитание» допускаются Эксперты, прошедшие специальное обучение и не имеющие противопоказаний по состоянию здоровья.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1.3. В процессе контроля выполнения конкурсных заданий и нахождения на конкурсной площадке Эксперт обязан четко соблюдать: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инструкции по охране труда и технике безопасности; 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правила пожарной безопасности, знать места расположения первичных средств пожаротушения и планов эвакуации.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расписание и график проведения конкурсного задания, установленные режимы труда и отдыха.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электрический ток;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шум, обусловленный конструкцией оргтехники;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 шум, обусловленный присутствием волонтеров и детей на площадке;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химические вещества, выделяющиеся при работе оргтехники;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зрительное перенапряжение при работе с ПК.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Физические: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режущие и колющие предметы;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термические ожоги.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Психологические: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чрезмерное напряжение внимания, усиленная нагрузка на зрение, слух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ответственность при выполнении своих функций.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1.5. Применяемые во время выполнения конкурсного задания средства индивидуальной защиты: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- обувь с низким каблуком;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1.6. Знаки безопасности, используемые на рабочих местах экспертов, для обозначения присутствующих опасностей:</w:t>
          </w:r>
        </w:p>
        <w:p w:rsidR="00854335" w:rsidRPr="00854335" w:rsidRDefault="00854335" w:rsidP="00854335">
          <w:pPr>
            <w:spacing w:before="120" w:after="120" w:line="240" w:lineRule="auto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</w:t>
          </w:r>
          <w:r w:rsidRPr="00854335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 F 04 Огнетушитель        </w:t>
          </w: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 </w:t>
          </w:r>
          <w:r w:rsidRPr="00854335"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447675" cy="438150"/>
                <wp:effectExtent l="0" t="0" r="9525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854335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 E 22 Указатель выхода</w:t>
          </w: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</w:t>
          </w:r>
          <w:r w:rsidRPr="00854335"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771525" cy="409575"/>
                <wp:effectExtent l="0" t="0" r="9525" b="9525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854335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E 23 Указатель запасного выхода</w:t>
          </w: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</w:t>
          </w:r>
          <w:r w:rsidRPr="00854335"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809625" cy="438150"/>
                <wp:effectExtent l="0" t="0" r="9525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854335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EC 01 Аптечка первой медицинской помощи      </w:t>
          </w: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  <w:r w:rsidRPr="00854335"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466725" cy="466725"/>
                <wp:effectExtent l="0" t="0" r="9525" b="952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67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854335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P 01 Запрещается курить</w:t>
          </w: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</w:t>
          </w: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begin"/>
          </w: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instrText xml:space="preserve"> INCLUDEPICTURE "https://studfiles.net/html/2706/32/html_qBHtLJCsya.KhkT/img-9S7d9T.jpg" \* MERGEFORMATINET </w:instrText>
          </w: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separate"/>
          </w:r>
          <w:r w:rsidR="00F52F2D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begin"/>
          </w:r>
          <w:r w:rsidR="00F52F2D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instrText xml:space="preserve"> INCLUDEPICTURE  "https://studfiles.net/html/2706/32/html_qBHtLJCsya.KhkT/img-9S7d9T.jpg" \* MERGEFORMATINET </w:instrText>
          </w:r>
          <w:r w:rsidR="00F52F2D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separate"/>
          </w:r>
          <w:r w:rsidR="007C53A1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begin"/>
          </w:r>
          <w:r w:rsidR="007C53A1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instrText xml:space="preserve"> </w:instrText>
          </w:r>
          <w:r w:rsidR="007C53A1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instrText>INCLUDEPICTURE  "https://studfiles.net/html/2706</w:instrText>
          </w:r>
          <w:r w:rsidR="007C53A1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instrText>/32/html_qBHtLJCsya.KhkT/img-9S7d9T.jpg" \* MERGEFORMATINET</w:instrText>
          </w:r>
          <w:r w:rsidR="007C53A1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instrText xml:space="preserve"> </w:instrText>
          </w:r>
          <w:r w:rsidR="007C53A1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separate"/>
          </w:r>
          <w:r w:rsidR="004604A6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pict>
              <v:shape id="_x0000_i1026" type="#_x0000_t75" style="width:39pt;height:39pt">
                <v:imagedata r:id="rId12" r:href="rId14"/>
              </v:shape>
            </w:pict>
          </w:r>
          <w:r w:rsidR="007C53A1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end"/>
          </w:r>
          <w:r w:rsidR="00F52F2D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end"/>
          </w: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end"/>
          </w:r>
        </w:p>
        <w:p w:rsidR="00854335" w:rsidRPr="00854335" w:rsidRDefault="00854335" w:rsidP="00854335">
          <w:pPr>
            <w:spacing w:before="120" w:after="120" w:line="240" w:lineRule="auto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помещении Экспертов Компетенции «Кузовной ремонт»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1.8. Эксперты, допустившие невыполнение или нарушение инструкции по охране труда, привлекаются к ответственности в соответствии с Регламентом WorldSkills Russia, а при необходимости согласно действующему законодательству.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0" w:name="_Toc507427603"/>
          <w:r w:rsidRPr="00854335"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  <w:t>2.Требования охраны труда перед началом работы</w:t>
          </w:r>
          <w:bookmarkEnd w:id="10"/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Перед началом работы Эксперты должны выполнить следующее: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2.3. Ежедневно, перед началом работ на конкурсной площадке и в помещении экспертов необходимо:</w:t>
          </w:r>
        </w:p>
        <w:p w:rsidR="00854335" w:rsidRPr="00854335" w:rsidRDefault="00854335" w:rsidP="00854335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рабочие места экспертов и участников;</w:t>
          </w:r>
        </w:p>
        <w:p w:rsidR="00854335" w:rsidRPr="00854335" w:rsidRDefault="00854335" w:rsidP="00854335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-привести в порядок рабочее место эксперта;</w:t>
          </w:r>
        </w:p>
        <w:p w:rsidR="00854335" w:rsidRPr="00854335" w:rsidRDefault="00854335" w:rsidP="00854335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-проверить правильность подключения оборудования в электросеть;</w:t>
          </w:r>
        </w:p>
        <w:p w:rsidR="00854335" w:rsidRPr="00854335" w:rsidRDefault="00854335" w:rsidP="00854335">
          <w:pPr>
            <w:tabs>
              <w:tab w:val="left" w:pos="709"/>
            </w:tabs>
            <w:spacing w:before="120" w:after="120" w:line="240" w:lineRule="auto"/>
            <w:ind w:left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инструментарий и образовательное оборудование участников в возрасте до 18 лет, участники старше 18 лет осматривают самостоятельно инструментарий, тулюбокс  и образовательное оборудование.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1" w:name="_Toc507427604"/>
          <w:r w:rsidRPr="00854335"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  <w:t>3.Требования охраны труда во время работы</w:t>
          </w:r>
          <w:bookmarkEnd w:id="11"/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3.3. Во избежание поражения током запрещается: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прикасаться к задней панели персонального компьютера и другой оргтехники, монитора при включенном питании;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производить самостоятельно вскрытие и ремонт оборудования;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переключать разъемы интерфейсных кабелей периферийных устройств при включенном питании;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загромождать верхние панели устройств бумагами и посторонними предметами;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3.5. Эксперту во время работы с оргтехникой: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обращать внимание на символы, высвечивающиеся на панели оборудования, не игнорировать их;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производить включение/выключение аппаратов мокрыми руками;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ставить на устройство емкости с водой, не класть металлические предметы;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эксплуатировать аппарат, если он перегрелся, стал дымиться, появился посторонний запах или звук;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эксплуатировать аппарат, если его уронили или корпус был поврежден;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вынимать застрявшие листы можно только после отключения устройства из сети;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-запрещается перемещать аппараты включенными в сеть;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все работы по замене картриджей, бумаги можно производить только после отключения аппарата от сети;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запрещается опираться на стекло оригиналодержателя, класть на него какие-либо вещи помимо оригинала;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запрещается работать на аппарате с треснувшим стеклом;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обязательно мыть руки теплой водой с мылом после каждой чистки картриджей, узлов и т.д.;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просыпанный тонер, носитель немедленно собрать пылесосом или влажной ветошью.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3.7. Запрещается: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устанавливать неизвестные системы паролирования и самостоятельно проводить переформатирование диска;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иметь при себе любые средства связи;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- пользоваться любой документацией кроме предусмотренной конкурсным заданием.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3.8.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3.9. При нахождении на конкурсной площадке Эксперту: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одеть необходимые средства индивидуальной защиты;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передвигаться по конкурсной площадке не спеша, не делая резких движений, смотря под ноги;</w:t>
          </w:r>
        </w:p>
        <w:p w:rsidR="00854335" w:rsidRPr="00854335" w:rsidRDefault="00854335" w:rsidP="00854335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2" w:name="_Toc507427605"/>
          <w:r w:rsidRPr="00854335"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  <w:t>4. Требования охраны труда в аварийных ситуациях</w:t>
          </w:r>
          <w:bookmarkEnd w:id="12"/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Выполнение конкурсного задания продолжать только после устранения возникшей неисправности.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854335" w:rsidRPr="00854335" w:rsidRDefault="00854335" w:rsidP="00854335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3" w:name="_Toc507427606"/>
          <w:r w:rsidRPr="00854335"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  <w:t xml:space="preserve">5.Требование охраны труда по окончании </w:t>
          </w:r>
          <w:bookmarkEnd w:id="13"/>
          <w:r w:rsidRPr="00854335">
            <w:rPr>
              <w:rFonts w:ascii="Times New Roman" w:eastAsia="Calibri" w:hAnsi="Times New Roman" w:cs="Times New Roman"/>
              <w:b/>
              <w:bCs/>
              <w:i/>
              <w:sz w:val="24"/>
              <w:szCs w:val="24"/>
              <w:lang w:eastAsia="ru-RU"/>
            </w:rPr>
            <w:t>выполнения конкурсного задания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После окончания конкурсного дня Эксперт обязан: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5.1. Отключить электрические приборы, образовательное и интерактивное  оборудование и устройства от источника питания.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5.2. Привести в порядок рабочее место Эксперта и проверить рабочие места участников. </w:t>
          </w:r>
        </w:p>
        <w:p w:rsidR="00854335" w:rsidRPr="00854335" w:rsidRDefault="00854335" w:rsidP="00854335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85433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    </w:r>
        </w:p>
        <w:p w:rsidR="00854335" w:rsidRPr="00854335" w:rsidRDefault="00854335" w:rsidP="00854335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E961FB" w:rsidRPr="004D6E23" w:rsidRDefault="007C53A1" w:rsidP="00E961FB">
          <w:pPr>
            <w:rPr>
              <w:rFonts w:ascii="Times New Roman" w:eastAsia="Arial Unicode MS" w:hAnsi="Times New Roman" w:cs="Times New Roman"/>
              <w:color w:val="FF0000"/>
              <w:sz w:val="72"/>
              <w:szCs w:val="72"/>
            </w:rPr>
          </w:pPr>
        </w:p>
      </w:sdtContent>
    </w:sdt>
    <w:p w:rsidR="00E961FB" w:rsidRPr="009955F8" w:rsidRDefault="00E961FB" w:rsidP="00E961FB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E961FB" w:rsidRPr="009955F8" w:rsidRDefault="00E961FB" w:rsidP="00E961FB">
      <w:pPr>
        <w:ind w:left="-1701"/>
        <w:rPr>
          <w:rFonts w:ascii="Times New Roman" w:eastAsia="Arial Unicode MS" w:hAnsi="Times New Roman" w:cs="Times New Roman"/>
        </w:rPr>
      </w:pPr>
    </w:p>
    <w:p w:rsidR="00E961FB" w:rsidRDefault="00E961FB" w:rsidP="00E961FB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>
      <w:headerReference w:type="default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3A1" w:rsidRDefault="007C53A1" w:rsidP="004D6E23">
      <w:pPr>
        <w:spacing w:after="0" w:line="240" w:lineRule="auto"/>
      </w:pPr>
      <w:r>
        <w:separator/>
      </w:r>
    </w:p>
  </w:endnote>
  <w:endnote w:type="continuationSeparator" w:id="0">
    <w:p w:rsidR="007C53A1" w:rsidRDefault="007C53A1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033"/>
      <w:gridCol w:w="322"/>
    </w:tblGrid>
    <w:tr w:rsidR="004D6E23" w:rsidRPr="00832EBB" w:rsidTr="004D6E23">
      <w:trPr>
        <w:trHeight w:hRule="exact" w:val="115"/>
        <w:jc w:val="center"/>
      </w:trPr>
      <w:tc>
        <w:tcPr>
          <w:tcW w:w="9072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83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D6E23" w:rsidRPr="00832EBB" w:rsidTr="004D6E23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9072" w:type="dxa"/>
              <w:shd w:val="clear" w:color="auto" w:fill="auto"/>
              <w:vAlign w:val="center"/>
            </w:tcPr>
            <w:p w:rsidR="004D6E23" w:rsidRPr="009955F8" w:rsidRDefault="004D6E23" w:rsidP="004D6E23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«Ворлдскиллс Россия»              (название компетенции)</w:t>
              </w:r>
            </w:p>
          </w:tc>
        </w:sdtContent>
      </w:sdt>
      <w:tc>
        <w:tcPr>
          <w:tcW w:w="283" w:type="dxa"/>
          <w:shd w:val="clear" w:color="auto" w:fill="auto"/>
          <w:vAlign w:val="center"/>
        </w:tcPr>
        <w:p w:rsidR="004D6E23" w:rsidRPr="00832EBB" w:rsidRDefault="004D6E23" w:rsidP="004D6E23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4604A6">
            <w:rPr>
              <w:caps/>
              <w:noProof/>
              <w:sz w:val="18"/>
              <w:szCs w:val="18"/>
            </w:rPr>
            <w:t>1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D6E23" w:rsidRDefault="004D6E23" w:rsidP="004D6E23">
    <w:pPr>
      <w:pStyle w:val="a8"/>
    </w:pPr>
  </w:p>
  <w:p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3A1" w:rsidRDefault="007C53A1" w:rsidP="004D6E23">
      <w:pPr>
        <w:spacing w:after="0" w:line="240" w:lineRule="auto"/>
      </w:pPr>
      <w:r>
        <w:separator/>
      </w:r>
    </w:p>
  </w:footnote>
  <w:footnote w:type="continuationSeparator" w:id="0">
    <w:p w:rsidR="007C53A1" w:rsidRDefault="007C53A1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E23" w:rsidRDefault="004D6E23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AD4D119" wp14:editId="416668D9">
          <wp:simplePos x="0" y="0"/>
          <wp:positionH relativeFrom="column">
            <wp:posOffset>5201149</wp:posOffset>
          </wp:positionH>
          <wp:positionV relativeFrom="paragraph">
            <wp:posOffset>-140335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FB"/>
    <w:rsid w:val="000A6438"/>
    <w:rsid w:val="00250F13"/>
    <w:rsid w:val="002C57E1"/>
    <w:rsid w:val="003E7D31"/>
    <w:rsid w:val="00435F60"/>
    <w:rsid w:val="004604A6"/>
    <w:rsid w:val="004D6E23"/>
    <w:rsid w:val="007C53A1"/>
    <w:rsid w:val="00823846"/>
    <w:rsid w:val="00832712"/>
    <w:rsid w:val="00854335"/>
    <w:rsid w:val="009D5F75"/>
    <w:rsid w:val="00E961FB"/>
    <w:rsid w:val="00F5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A059F28-4033-46DE-93C3-260326AA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https://studfiles.net/html/2706/32/html_qBHtLJCsya.KhkT/img-9S7d9T.jpg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https://studfiles.net/html/2706/32/html_qBHtLJCsya.KhkT/img-9S7d9T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4572</Words>
  <Characters>26062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(название компетенции)</dc:creator>
  <cp:keywords/>
  <dc:description/>
  <cp:lastModifiedBy>Ulyanova Elmira</cp:lastModifiedBy>
  <cp:revision>2</cp:revision>
  <cp:lastPrinted>2018-05-07T10:16:00Z</cp:lastPrinted>
  <dcterms:created xsi:type="dcterms:W3CDTF">2019-04-26T10:08:00Z</dcterms:created>
  <dcterms:modified xsi:type="dcterms:W3CDTF">2019-04-26T10:08:00Z</dcterms:modified>
</cp:coreProperties>
</file>