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наличии вакансий </w:t>
      </w:r>
      <w:r>
        <w:rPr>
          <w:rFonts w:ascii="Times New Roman" w:hAnsi="Times New Roman"/>
          <w:b/>
          <w:sz w:val="28"/>
          <w:szCs w:val="28"/>
        </w:rPr>
        <w:t xml:space="preserve">и закреплении молодых педагогов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дошкольных</w:t>
      </w:r>
      <w:r>
        <w:rPr>
          <w:rFonts w:ascii="Times New Roman" w:hAnsi="Times New Roman"/>
          <w:b/>
          <w:sz w:val="28"/>
          <w:szCs w:val="28"/>
        </w:rPr>
        <w:t xml:space="preserve"> образовательных учреждениях города Севастополя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июн</w:t>
      </w:r>
      <w:r>
        <w:rPr>
          <w:rFonts w:ascii="Times New Roman" w:hAnsi="Times New Roman"/>
          <w:b/>
          <w:sz w:val="28"/>
          <w:szCs w:val="28"/>
        </w:rPr>
        <w:t xml:space="preserve"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плану работы ГАОУ ПО ИРО с </w:t>
      </w:r>
      <w:r>
        <w:rPr>
          <w:rFonts w:ascii="Times New Roman" w:hAnsi="Times New Roman"/>
          <w:sz w:val="28"/>
          <w:szCs w:val="28"/>
        </w:rPr>
        <w:t xml:space="preserve">28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</w:t>
      </w:r>
      <w:r>
        <w:rPr>
          <w:rFonts w:ascii="Times New Roman" w:hAnsi="Times New Roman"/>
          <w:sz w:val="28"/>
          <w:szCs w:val="28"/>
        </w:rPr>
        <w:t xml:space="preserve">я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проводи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ся мониторинг наличия/отсутствия вакансий </w:t>
      </w:r>
      <w:r>
        <w:rPr>
          <w:rFonts w:ascii="Times New Roman" w:hAnsi="Times New Roman"/>
          <w:sz w:val="28"/>
          <w:szCs w:val="28"/>
        </w:rPr>
        <w:t xml:space="preserve">и закрепления молодых педагогов </w:t>
      </w:r>
      <w:r>
        <w:rPr>
          <w:rFonts w:ascii="Times New Roman" w:hAnsi="Times New Roman"/>
          <w:sz w:val="28"/>
          <w:szCs w:val="28"/>
        </w:rPr>
        <w:t xml:space="preserve">в образовательных учреждениях города Севастополя.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состоянию на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информацию о наличии/отсутствии вакансий </w:t>
      </w:r>
      <w:r>
        <w:rPr>
          <w:rFonts w:ascii="Times New Roman" w:hAnsi="Times New Roman"/>
          <w:sz w:val="28"/>
          <w:szCs w:val="28"/>
        </w:rPr>
        <w:t xml:space="preserve">и закреплении молодых педагогов </w:t>
      </w:r>
      <w:r>
        <w:rPr>
          <w:rFonts w:ascii="Times New Roman" w:hAnsi="Times New Roman"/>
          <w:sz w:val="28"/>
          <w:szCs w:val="28"/>
        </w:rPr>
        <w:t xml:space="preserve">подали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 xml:space="preserve">дошкольных </w:t>
      </w:r>
      <w:r>
        <w:rPr>
          <w:rFonts w:ascii="Times New Roman" w:hAnsi="Times New Roman"/>
          <w:sz w:val="28"/>
          <w:szCs w:val="28"/>
        </w:rPr>
        <w:t xml:space="preserve">образовательных учреждений г.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Севастополя. 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Полностью укомплектованы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дошкольных образовательных </w:t>
      </w:r>
      <w:r>
        <w:rPr>
          <w:rFonts w:ascii="Times New Roman" w:hAnsi="Times New Roman"/>
          <w:sz w:val="28"/>
          <w:szCs w:val="28"/>
        </w:rPr>
        <w:t xml:space="preserve">учреждений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ГБДОУ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3, </w:t>
      </w:r>
      <w:r>
        <w:rPr>
          <w:rFonts w:ascii="Times New Roman" w:hAnsi="Times New Roman"/>
          <w:sz w:val="28"/>
          <w:szCs w:val="28"/>
        </w:rPr>
        <w:t xml:space="preserve">7,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11, </w:t>
      </w:r>
      <w:r>
        <w:rPr>
          <w:rFonts w:ascii="Times New Roman" w:hAnsi="Times New Roman"/>
          <w:sz w:val="28"/>
          <w:szCs w:val="28"/>
        </w:rPr>
        <w:t xml:space="preserve">13,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24,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27, </w:t>
      </w:r>
      <w:r>
        <w:rPr>
          <w:rFonts w:ascii="Times New Roman" w:hAnsi="Times New Roman"/>
          <w:sz w:val="28"/>
          <w:szCs w:val="28"/>
        </w:rPr>
        <w:t xml:space="preserve">35, </w:t>
      </w:r>
      <w:r>
        <w:rPr>
          <w:rFonts w:ascii="Times New Roman" w:hAnsi="Times New Roman"/>
          <w:sz w:val="28"/>
          <w:szCs w:val="28"/>
        </w:rPr>
        <w:t xml:space="preserve">40,</w:t>
      </w:r>
      <w:r>
        <w:rPr>
          <w:rFonts w:ascii="Times New Roman" w:hAnsi="Times New Roman"/>
          <w:sz w:val="28"/>
          <w:szCs w:val="28"/>
        </w:rPr>
        <w:t xml:space="preserve"> 41,</w:t>
      </w:r>
      <w:r>
        <w:rPr>
          <w:rFonts w:ascii="Times New Roman" w:hAnsi="Times New Roman"/>
          <w:sz w:val="28"/>
          <w:szCs w:val="28"/>
        </w:rPr>
        <w:t xml:space="preserve"> 61, </w:t>
      </w:r>
      <w:r>
        <w:rPr>
          <w:rFonts w:ascii="Times New Roman" w:hAnsi="Times New Roman"/>
          <w:sz w:val="28"/>
          <w:szCs w:val="28"/>
        </w:rPr>
        <w:t xml:space="preserve">67,</w:t>
      </w:r>
      <w:r>
        <w:rPr>
          <w:rFonts w:ascii="Times New Roman" w:hAnsi="Times New Roman"/>
          <w:sz w:val="28"/>
          <w:szCs w:val="28"/>
        </w:rPr>
        <w:t xml:space="preserve"> 90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112, </w:t>
      </w:r>
      <w:r>
        <w:rPr>
          <w:rFonts w:ascii="Times New Roman" w:hAnsi="Times New Roman"/>
          <w:sz w:val="28"/>
          <w:szCs w:val="28"/>
        </w:rPr>
        <w:t xml:space="preserve">113, 126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ГБОУ «ШКОЛА ЭКОТЕХ+»</w:t>
      </w:r>
      <w:r>
        <w:rPr>
          <w:rFonts w:ascii="Times New Roman" w:hAnsi="Times New Roman"/>
          <w:sz w:val="28"/>
          <w:szCs w:val="28"/>
        </w:rPr>
        <w:t xml:space="preserve">, СОШ № 28, ОЦ «Античный»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аибольшее количество вакансий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дошкольных образовательны</w:t>
      </w:r>
      <w:r>
        <w:rPr>
          <w:rFonts w:ascii="Times New Roman" w:hAnsi="Times New Roman"/>
          <w:sz w:val="28"/>
          <w:szCs w:val="28"/>
        </w:rPr>
        <w:t xml:space="preserve">х учреждениях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ГБОУ ОЦ «Бухта Казачья» (14 чел./15 ставок/513 часов),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ГБДОУ № </w:t>
      </w:r>
      <w:r>
        <w:rPr>
          <w:rFonts w:ascii="Times New Roman" w:hAnsi="Times New Roman"/>
          <w:sz w:val="28"/>
          <w:szCs w:val="28"/>
        </w:rPr>
        <w:t xml:space="preserve">36 (12</w:t>
      </w:r>
      <w:r>
        <w:rPr>
          <w:rFonts w:ascii="Times New Roman" w:hAnsi="Times New Roman"/>
          <w:sz w:val="28"/>
          <w:szCs w:val="28"/>
        </w:rPr>
        <w:t xml:space="preserve"> чел./14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/445 часов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89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13 чел./13</w:t>
      </w:r>
      <w:r>
        <w:rPr>
          <w:rFonts w:ascii="Times New Roman" w:hAnsi="Times New Roman"/>
          <w:sz w:val="28"/>
          <w:szCs w:val="28"/>
        </w:rPr>
        <w:t xml:space="preserve">,11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/430 часов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118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чел./15,5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/505,5 часов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дошкольных образовательных учреждениях на вакансии находятся </w:t>
      </w: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чел./20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03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/6</w:t>
      </w:r>
      <w:r>
        <w:rPr>
          <w:rFonts w:ascii="Times New Roman" w:hAnsi="Times New Roman"/>
          <w:sz w:val="28"/>
          <w:szCs w:val="28"/>
        </w:rPr>
        <w:t xml:space="preserve">751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Потребность </w:t>
      </w:r>
      <w:r>
        <w:rPr>
          <w:rFonts w:ascii="Times New Roman" w:hAnsi="Times New Roman"/>
          <w:sz w:val="28"/>
          <w:szCs w:val="28"/>
        </w:rPr>
        <w:t xml:space="preserve">дошкольных </w:t>
      </w:r>
      <w:r>
        <w:rPr>
          <w:rFonts w:ascii="Times New Roman" w:hAnsi="Times New Roman"/>
          <w:sz w:val="28"/>
          <w:szCs w:val="28"/>
        </w:rPr>
        <w:t xml:space="preserve">образовательных учреждений в педагогических кадрах следующая: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заведующего –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2,5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старший воспитатель –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3,5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126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методист –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36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воспитатель – </w:t>
      </w:r>
      <w:r>
        <w:rPr>
          <w:rFonts w:ascii="Times New Roman" w:hAnsi="Times New Roman"/>
          <w:sz w:val="28"/>
          <w:szCs w:val="28"/>
        </w:rPr>
        <w:t xml:space="preserve">119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123,67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4452</w:t>
      </w:r>
      <w:r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воспитатель коррекционной группы – 3 чел./3 </w:t>
      </w:r>
      <w:r>
        <w:rPr>
          <w:rFonts w:ascii="Times New Roman" w:hAnsi="Times New Roman"/>
          <w:sz w:val="28"/>
          <w:szCs w:val="28"/>
        </w:rPr>
        <w:t xml:space="preserve">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/75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музыкальный руководитель – </w:t>
      </w:r>
      <w:r>
        <w:rPr>
          <w:rFonts w:ascii="Times New Roman" w:hAnsi="Times New Roman"/>
          <w:sz w:val="28"/>
          <w:szCs w:val="28"/>
        </w:rPr>
        <w:t xml:space="preserve">21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22,25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534</w:t>
      </w:r>
      <w:r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инструктор по физической культуре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18,44 </w:t>
      </w:r>
      <w:r>
        <w:rPr>
          <w:rFonts w:ascii="Times New Roman" w:hAnsi="Times New Roman"/>
          <w:sz w:val="28"/>
          <w:szCs w:val="28"/>
        </w:rPr>
        <w:t xml:space="preserve">ст</w:t>
      </w:r>
      <w:r>
        <w:rPr>
          <w:rFonts w:ascii="Times New Roman" w:hAnsi="Times New Roman"/>
          <w:sz w:val="28"/>
          <w:szCs w:val="28"/>
        </w:rPr>
        <w:t xml:space="preserve">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553,1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педагог-психолог –</w:t>
      </w:r>
      <w:r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252</w:t>
      </w:r>
      <w:r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педагог-организатор – 1 чел./0,75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/27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социальный педагог – 1 чел./1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/36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учитель-логопед – </w:t>
      </w:r>
      <w:r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11,25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225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учитель-дефектолог (олигофренопедагог) –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2,5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50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учитель-дефектолог (</w:t>
      </w:r>
      <w:r>
        <w:rPr>
          <w:rFonts w:ascii="Times New Roman" w:hAnsi="Times New Roman"/>
          <w:sz w:val="28"/>
          <w:szCs w:val="28"/>
        </w:rPr>
        <w:t xml:space="preserve">тифлопедагог</w:t>
      </w:r>
      <w:r>
        <w:rPr>
          <w:rFonts w:ascii="Times New Roman" w:hAnsi="Times New Roman"/>
          <w:sz w:val="28"/>
          <w:szCs w:val="28"/>
        </w:rPr>
        <w:t xml:space="preserve">) – </w:t>
      </w:r>
      <w:r>
        <w:rPr>
          <w:rFonts w:ascii="Times New Roman" w:hAnsi="Times New Roman"/>
          <w:sz w:val="28"/>
          <w:szCs w:val="28"/>
        </w:rPr>
        <w:t xml:space="preserve">1 чел./0,5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/10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учитель-дефектолог (</w:t>
      </w:r>
      <w:r>
        <w:rPr>
          <w:rFonts w:ascii="Times New Roman" w:hAnsi="Times New Roman"/>
          <w:sz w:val="28"/>
          <w:szCs w:val="28"/>
        </w:rPr>
        <w:t xml:space="preserve">сурд</w:t>
      </w:r>
      <w:r>
        <w:rPr>
          <w:rFonts w:ascii="Times New Roman" w:hAnsi="Times New Roman"/>
          <w:sz w:val="28"/>
          <w:szCs w:val="28"/>
        </w:rPr>
        <w:t xml:space="preserve">опедагог) – </w:t>
      </w:r>
      <w:r>
        <w:rPr>
          <w:rFonts w:ascii="Times New Roman" w:hAnsi="Times New Roman"/>
          <w:sz w:val="28"/>
          <w:szCs w:val="28"/>
        </w:rPr>
        <w:t xml:space="preserve">1 чел./0,5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/10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тьютор –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5,56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200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чел./</w:t>
      </w:r>
      <w:r>
        <w:rPr>
          <w:rFonts w:ascii="Times New Roman" w:hAnsi="Times New Roman"/>
          <w:sz w:val="28"/>
          <w:szCs w:val="28"/>
        </w:rPr>
        <w:t xml:space="preserve">3,61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65</w:t>
      </w:r>
      <w:r>
        <w:rPr>
          <w:rFonts w:ascii="Times New Roman" w:hAnsi="Times New Roman"/>
          <w:sz w:val="28"/>
          <w:szCs w:val="28"/>
        </w:rPr>
        <w:t xml:space="preserve">часов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 октября 2024 года в дошкольных учреждениях было 109 молодых педагогов; на 1 июня</w:t>
      </w:r>
      <w:r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 xml:space="preserve"> – осталось 107 человек (далее – 109/107)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свидетельствуе</w:t>
      </w:r>
      <w:r>
        <w:rPr>
          <w:rFonts w:ascii="Times New Roman" w:hAnsi="Times New Roman"/>
          <w:sz w:val="28"/>
          <w:szCs w:val="28"/>
          <w:highlight w:val="white"/>
        </w:rPr>
        <w:t xml:space="preserve">т о </w:t>
      </w:r>
      <w:r>
        <w:rPr>
          <w:rFonts w:ascii="Times New Roman" w:hAnsi="Times New Roman"/>
          <w:sz w:val="28"/>
          <w:szCs w:val="28"/>
          <w:highlight w:val="white"/>
        </w:rPr>
        <w:t xml:space="preserve">98 %</w:t>
      </w:r>
      <w:r>
        <w:rPr>
          <w:rFonts w:ascii="Times New Roman" w:hAnsi="Times New Roman"/>
          <w:sz w:val="28"/>
          <w:szCs w:val="28"/>
          <w:highlight w:val="white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креплени</w:t>
      </w:r>
      <w:r>
        <w:rPr>
          <w:rFonts w:ascii="Times New Roman" w:hAnsi="Times New Roman"/>
          <w:sz w:val="28"/>
          <w:szCs w:val="28"/>
        </w:rPr>
        <w:t xml:space="preserve">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них: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воспитатель – 102/100;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инструктор по физической культуре</w:t>
      </w:r>
      <w:r>
        <w:rPr>
          <w:rFonts w:ascii="Times New Roman" w:hAnsi="Times New Roman"/>
          <w:sz w:val="28"/>
          <w:szCs w:val="28"/>
        </w:rPr>
        <w:t xml:space="preserve"> – 1/1;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педагог-психолог – 2/2;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учитель-логопед – 4/4.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количество молодых педагогов закрепилось в ГБДОУ № 88 (7/10), 118 </w:t>
      </w:r>
      <w:r>
        <w:rPr>
          <w:rFonts w:ascii="Times New Roman" w:hAnsi="Times New Roman"/>
          <w:sz w:val="28"/>
          <w:szCs w:val="28"/>
        </w:rPr>
        <w:t xml:space="preserve">(16/15), 127 (13/12), 131 (9/10).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подробно распределение вакансий отражено в приложении </w:t>
      </w:r>
      <w:r>
        <w:rPr>
          <w:rFonts w:ascii="Times New Roman" w:hAnsi="Times New Roman"/>
          <w:sz w:val="28"/>
          <w:szCs w:val="28"/>
          <w:lang w:val="en-US"/>
        </w:rPr>
        <w:t xml:space="preserve">Excel</w:t>
      </w:r>
      <w:r>
        <w:rPr>
          <w:rFonts w:ascii="Times New Roman" w:hAnsi="Times New Roman"/>
          <w:sz w:val="28"/>
          <w:szCs w:val="28"/>
        </w:rPr>
        <w:t xml:space="preserve"> «ДОУ_Ваканс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+Молодые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</w:t>
      </w:r>
      <w:r>
        <w:rPr>
          <w:rFonts w:ascii="Times New Roman" w:hAnsi="Times New Roman"/>
          <w:sz w:val="28"/>
          <w:szCs w:val="28"/>
        </w:rPr>
        <w:t xml:space="preserve">ь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года».</w:t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8"/>
      <w:footnotePr/>
      <w:endnotePr/>
      <w:type w:val="nextPage"/>
      <w:pgSz w:h="16838" w:orient="landscape" w:w="11906"/>
      <w:pgMar w:top="1134" w:right="566" w:bottom="851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6"/>
    <w:next w:val="62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6"/>
    <w:next w:val="62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6"/>
    <w:next w:val="6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6"/>
    <w:next w:val="62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6"/>
    <w:next w:val="62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6"/>
    <w:next w:val="62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6"/>
    <w:next w:val="62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6"/>
    <w:next w:val="62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6"/>
    <w:next w:val="62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6"/>
    <w:next w:val="62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6"/>
    <w:next w:val="62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6"/>
    <w:next w:val="626"/>
    <w:uiPriority w:val="99"/>
    <w:unhideWhenUsed/>
    <w:pPr>
      <w:pBdr/>
      <w:spacing w:after="0" w:afterAutospacing="0"/>
      <w:ind/>
    </w:pPr>
  </w:style>
  <w:style w:type="paragraph" w:styleId="626" w:default="1">
    <w:name w:val="Normal"/>
    <w:next w:val="626"/>
    <w:link w:val="626"/>
    <w:qFormat/>
    <w:pPr>
      <w:pBdr/>
      <w:spacing w:after="160" w:line="259" w:lineRule="auto"/>
      <w:ind/>
    </w:pPr>
    <w:rPr>
      <w:rFonts w:eastAsia="Times New Roman"/>
      <w:sz w:val="22"/>
      <w:szCs w:val="22"/>
      <w:lang w:val="ru-RU" w:eastAsia="en-US" w:bidi="ar-SA"/>
    </w:rPr>
  </w:style>
  <w:style w:type="character" w:styleId="627">
    <w:name w:val="Основной шрифт абзаца"/>
    <w:next w:val="627"/>
    <w:link w:val="626"/>
    <w:semiHidden/>
    <w:pPr>
      <w:pBdr/>
      <w:spacing/>
      <w:ind/>
    </w:pPr>
  </w:style>
  <w:style w:type="table" w:styleId="628">
    <w:name w:val="Обычная таблица"/>
    <w:next w:val="628"/>
    <w:link w:val="62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9">
    <w:name w:val="Нет списка"/>
    <w:next w:val="629"/>
    <w:link w:val="626"/>
    <w:semiHidden/>
    <w:pPr>
      <w:pBdr/>
      <w:spacing/>
      <w:ind/>
    </w:pPr>
  </w:style>
  <w:style w:type="paragraph" w:styleId="630">
    <w:name w:val="Верхний колонтитул"/>
    <w:basedOn w:val="626"/>
    <w:next w:val="630"/>
    <w:link w:val="631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31">
    <w:name w:val="Верхний колонтитул Знак"/>
    <w:next w:val="631"/>
    <w:link w:val="630"/>
    <w:pPr>
      <w:pBdr/>
      <w:spacing/>
      <w:ind/>
    </w:pPr>
    <w:rPr>
      <w:rFonts w:cs="Times New Roman"/>
    </w:rPr>
  </w:style>
  <w:style w:type="paragraph" w:styleId="632">
    <w:name w:val="Нижний колонтитул"/>
    <w:basedOn w:val="626"/>
    <w:next w:val="632"/>
    <w:link w:val="633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33">
    <w:name w:val="Нижний колонтитул Знак"/>
    <w:next w:val="633"/>
    <w:link w:val="632"/>
    <w:pPr>
      <w:pBdr/>
      <w:spacing/>
      <w:ind/>
    </w:pPr>
    <w:rPr>
      <w:rFonts w:cs="Times New Roman"/>
    </w:rPr>
  </w:style>
  <w:style w:type="paragraph" w:styleId="634">
    <w:name w:val="Текст выноски"/>
    <w:basedOn w:val="626"/>
    <w:next w:val="634"/>
    <w:link w:val="635"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35">
    <w:name w:val="Текст выноски Знак"/>
    <w:next w:val="635"/>
    <w:link w:val="634"/>
    <w:pPr>
      <w:pBdr/>
      <w:spacing/>
      <w:ind/>
    </w:pPr>
    <w:rPr>
      <w:rFonts w:ascii="Segoe UI" w:hAnsi="Segoe UI" w:eastAsia="Times New Roman" w:cs="Segoe UI"/>
      <w:sz w:val="18"/>
      <w:szCs w:val="18"/>
      <w:lang w:eastAsia="en-US"/>
    </w:rPr>
  </w:style>
  <w:style w:type="character" w:styleId="1076" w:default="1">
    <w:name w:val="Default Paragraph Font"/>
    <w:uiPriority w:val="1"/>
    <w:semiHidden/>
    <w:unhideWhenUsed/>
    <w:pPr>
      <w:pBdr/>
      <w:spacing/>
      <w:ind/>
    </w:pPr>
  </w:style>
  <w:style w:type="numbering" w:styleId="1077" w:default="1">
    <w:name w:val="No List"/>
    <w:uiPriority w:val="99"/>
    <w:semiHidden/>
    <w:unhideWhenUsed/>
    <w:pPr>
      <w:pBdr/>
      <w:spacing/>
      <w:ind/>
    </w:pPr>
  </w:style>
  <w:style w:type="table" w:styleId="10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>HP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наличии вакансий </dc:title>
  <dc:creator>Natalya Kravchuk</dc:creator>
  <cp:revision>47</cp:revision>
  <dcterms:created xsi:type="dcterms:W3CDTF">2020-06-29T10:36:00Z</dcterms:created>
  <dcterms:modified xsi:type="dcterms:W3CDTF">2025-06-18T09:32:56Z</dcterms:modified>
  <cp:version>983040</cp:version>
</cp:coreProperties>
</file>