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Информация о наличии вакансий </w:t>
      </w:r>
      <w:r>
        <w:rPr>
          <w:rFonts w:ascii="Times New Roman" w:hAnsi="Times New Roman"/>
          <w:b/>
          <w:sz w:val="28"/>
          <w:szCs w:val="28"/>
        </w:rPr>
        <w:t xml:space="preserve">и закреплении молодых педагогов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учреждениях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профессионального образования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города Севастополя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 состоянию на 1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июня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плану работы ГАОУ ПО ИРО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июн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 был проведен мониторинг наличия/отсутствия вакансий </w:t>
      </w:r>
      <w:r>
        <w:rPr>
          <w:rFonts w:ascii="Times New Roman" w:hAnsi="Times New Roman"/>
          <w:sz w:val="28"/>
          <w:szCs w:val="28"/>
        </w:rPr>
        <w:t xml:space="preserve">и закрепления молодых педагогов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образовательных учреждениях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города Севастополя.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состоянию на 3 июня 2025 года информацию о наличии/отсутствии вакансий и закреплении молодых педагогов подали 100 % учреждений </w:t>
      </w:r>
      <w:r>
        <w:rPr>
          <w:rFonts w:ascii="Times New Roman" w:hAnsi="Times New Roman"/>
          <w:sz w:val="28"/>
          <w:szCs w:val="28"/>
        </w:rPr>
        <w:t xml:space="preserve">среднего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профессионального образования</w:t>
      </w:r>
      <w:r>
        <w:rPr>
          <w:rFonts w:ascii="Times New Roman" w:hAnsi="Times New Roman"/>
          <w:sz w:val="28"/>
          <w:szCs w:val="28"/>
        </w:rPr>
        <w:t xml:space="preserve"> г. Севастополя.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ГБОУПО СТЭТ вакантных мест нет.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Наибольшее количество вакантных мест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 учреждениях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среднего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профессионального образования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СЕВКИТИП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10,5</w:t>
      </w:r>
      <w:r>
        <w:rPr>
          <w:rFonts w:ascii="Times New Roman" w:hAnsi="Times New Roman"/>
          <w:sz w:val="28"/>
          <w:szCs w:val="28"/>
        </w:rPr>
        <w:t xml:space="preserve"> ставок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814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СПХК (11</w:t>
      </w:r>
      <w:r>
        <w:rPr>
          <w:rFonts w:ascii="Times New Roman" w:hAnsi="Times New Roman"/>
          <w:sz w:val="28"/>
          <w:szCs w:val="28"/>
        </w:rPr>
        <w:t xml:space="preserve"> чел./13</w:t>
      </w:r>
      <w:r>
        <w:rPr>
          <w:rFonts w:ascii="Times New Roman" w:hAnsi="Times New Roman"/>
          <w:sz w:val="28"/>
          <w:szCs w:val="28"/>
        </w:rPr>
        <w:t xml:space="preserve"> ставок</w:t>
      </w:r>
      <w:r>
        <w:rPr>
          <w:rFonts w:ascii="Times New Roman" w:hAnsi="Times New Roman"/>
          <w:sz w:val="28"/>
          <w:szCs w:val="28"/>
        </w:rPr>
        <w:t xml:space="preserve">/7</w:t>
      </w:r>
      <w:r>
        <w:rPr>
          <w:rFonts w:ascii="Times New Roman" w:hAnsi="Times New Roman"/>
          <w:sz w:val="28"/>
          <w:szCs w:val="28"/>
        </w:rPr>
        <w:t xml:space="preserve">632</w:t>
      </w:r>
      <w:r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САСТ (23</w:t>
      </w:r>
      <w:r>
        <w:rPr>
          <w:rFonts w:ascii="Times New Roman" w:hAnsi="Times New Roman"/>
          <w:sz w:val="28"/>
          <w:szCs w:val="28"/>
        </w:rPr>
        <w:t xml:space="preserve"> чел./23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/15192 час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СМК (11</w:t>
      </w:r>
      <w:r>
        <w:rPr>
          <w:rFonts w:ascii="Times New Roman" w:hAnsi="Times New Roman"/>
          <w:sz w:val="28"/>
          <w:szCs w:val="28"/>
        </w:rPr>
        <w:t xml:space="preserve"> чел./11</w:t>
      </w:r>
      <w:r>
        <w:rPr>
          <w:rFonts w:ascii="Times New Roman" w:hAnsi="Times New Roman"/>
          <w:sz w:val="28"/>
          <w:szCs w:val="28"/>
        </w:rPr>
        <w:t xml:space="preserve"> ставок</w:t>
      </w:r>
      <w:r>
        <w:rPr>
          <w:rFonts w:ascii="Times New Roman" w:hAnsi="Times New Roman"/>
          <w:sz w:val="28"/>
          <w:szCs w:val="28"/>
        </w:rPr>
        <w:t xml:space="preserve">/7</w:t>
      </w:r>
      <w:r>
        <w:rPr>
          <w:rFonts w:ascii="Times New Roman" w:hAnsi="Times New Roman"/>
          <w:sz w:val="28"/>
          <w:szCs w:val="28"/>
        </w:rPr>
        <w:t xml:space="preserve">560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тем, что в </w:t>
      </w:r>
      <w:r>
        <w:rPr>
          <w:rFonts w:ascii="Times New Roman" w:hAnsi="Times New Roman"/>
          <w:sz w:val="28"/>
          <w:szCs w:val="28"/>
        </w:rPr>
        <w:t xml:space="preserve">учреждениях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профессионального образования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нагрузка преподавателей 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мастеров производственного обучения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определяется в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количестве часов в год, а иных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педагогов –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количестве часов в неделю,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отребность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учреждений профессионального образования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общем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преподаватели и мастера производственного обучения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72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чел./73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45360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 в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иные педагогические работники – 12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11,5 </w:t>
      </w:r>
      <w:r>
        <w:rPr>
          <w:rFonts w:ascii="Times New Roman" w:hAnsi="Times New Roman"/>
          <w:sz w:val="28"/>
          <w:szCs w:val="28"/>
        </w:rPr>
        <w:t xml:space="preserve">ставок/</w:t>
      </w:r>
      <w:r>
        <w:rPr>
          <w:rFonts w:ascii="Times New Roman" w:hAnsi="Times New Roman"/>
          <w:sz w:val="28"/>
          <w:szCs w:val="28"/>
        </w:rPr>
        <w:t xml:space="preserve">360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 в неделю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числе: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аместитель руководителя Центра развития добровольчества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Абилимпикс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чел./1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/36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методист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4,5</w:t>
      </w:r>
      <w:r>
        <w:rPr>
          <w:rFonts w:ascii="Times New Roman" w:hAnsi="Times New Roman"/>
          <w:sz w:val="28"/>
          <w:szCs w:val="28"/>
        </w:rPr>
        <w:t xml:space="preserve"> ставок/</w:t>
      </w:r>
      <w:r>
        <w:rPr>
          <w:rFonts w:ascii="Times New Roman" w:hAnsi="Times New Roman"/>
          <w:sz w:val="28"/>
          <w:szCs w:val="28"/>
        </w:rPr>
        <w:t xml:space="preserve">162</w:t>
      </w:r>
      <w:r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педагог-психолог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36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социальный педагог – 2</w:t>
      </w:r>
      <w:r>
        <w:rPr>
          <w:rFonts w:ascii="Times New Roman" w:hAnsi="Times New Roman"/>
          <w:sz w:val="28"/>
          <w:szCs w:val="28"/>
        </w:rPr>
        <w:t xml:space="preserve"> чел./2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/72 час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педагог дополнительного образования художественного направления – 3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чел./3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/54 час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физики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ставок/</w:t>
      </w:r>
      <w:r>
        <w:rPr>
          <w:rFonts w:ascii="Times New Roman" w:hAnsi="Times New Roman"/>
          <w:sz w:val="28"/>
          <w:szCs w:val="28"/>
        </w:rPr>
        <w:t xml:space="preserve">3600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преподаватель математики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2880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информатики– 4</w:t>
      </w:r>
      <w:r>
        <w:rPr>
          <w:rFonts w:ascii="Times New Roman" w:hAnsi="Times New Roman"/>
          <w:sz w:val="28"/>
          <w:szCs w:val="28"/>
        </w:rPr>
        <w:t xml:space="preserve"> чел./4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/2880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биологии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3,5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2520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химии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1440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физической культуры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1440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истории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1440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истории России – 1</w:t>
      </w:r>
      <w:r>
        <w:rPr>
          <w:rFonts w:ascii="Times New Roman" w:hAnsi="Times New Roman"/>
          <w:sz w:val="28"/>
          <w:szCs w:val="28"/>
        </w:rPr>
        <w:t xml:space="preserve"> чел./0,5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/360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обществознания – 1</w:t>
      </w:r>
      <w:r>
        <w:rPr>
          <w:rFonts w:ascii="Times New Roman" w:hAnsi="Times New Roman"/>
          <w:sz w:val="28"/>
          <w:szCs w:val="28"/>
        </w:rPr>
        <w:t xml:space="preserve"> чел./1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/720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русского языка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1440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литературы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720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географии – 3</w:t>
      </w:r>
      <w:r>
        <w:rPr>
          <w:rFonts w:ascii="Times New Roman" w:hAnsi="Times New Roman"/>
          <w:sz w:val="28"/>
          <w:szCs w:val="28"/>
        </w:rPr>
        <w:t xml:space="preserve"> чел./3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/2160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преподаватель-организатор основ безопасности жизнедеятельности и защиты Родины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1440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спецдисциплин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«Строительство» – 1</w:t>
      </w:r>
      <w:r>
        <w:rPr>
          <w:rFonts w:ascii="Times New Roman" w:hAnsi="Times New Roman"/>
          <w:sz w:val="28"/>
          <w:szCs w:val="28"/>
        </w:rPr>
        <w:t xml:space="preserve"> чел./1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/720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дисциплины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Информационные технологии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программирование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1440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дисциплины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Информационные технологии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профессиональной деятельности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– 1</w:t>
      </w:r>
      <w:r>
        <w:rPr>
          <w:rFonts w:ascii="Times New Roman" w:hAnsi="Times New Roman"/>
          <w:sz w:val="28"/>
          <w:szCs w:val="28"/>
        </w:rPr>
        <w:t xml:space="preserve"> чел./1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/720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дисциплины «Ремонт и контроль качества выполняемых ремонтных работ устройств электроснабжения и электрооборудования» – 1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чел./1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/720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дисциплины «Техническое обслуживание устройств электроснабжения и электрооборудования» – 1</w:t>
      </w:r>
      <w:r>
        <w:rPr>
          <w:rFonts w:ascii="Times New Roman" w:hAnsi="Times New Roman"/>
          <w:sz w:val="28"/>
          <w:szCs w:val="28"/>
        </w:rPr>
        <w:t xml:space="preserve"> чел./0,5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/360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дисциплины «Общий уход за пациентами» – 1</w:t>
      </w:r>
      <w:r>
        <w:rPr>
          <w:rFonts w:ascii="Times New Roman" w:hAnsi="Times New Roman"/>
          <w:sz w:val="28"/>
          <w:szCs w:val="28"/>
        </w:rPr>
        <w:t xml:space="preserve"> чел./1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/720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дисциплины «Документирование и контроль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профессиональной деятельности медсестры» – 1</w:t>
      </w:r>
      <w:r>
        <w:rPr>
          <w:rFonts w:ascii="Times New Roman" w:hAnsi="Times New Roman"/>
          <w:sz w:val="28"/>
          <w:szCs w:val="28"/>
        </w:rPr>
        <w:t xml:space="preserve"> чел./1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/720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дисциплины «Осуществление лечебно-диагностической деятельности» – 1</w:t>
      </w:r>
      <w:r>
        <w:rPr>
          <w:rFonts w:ascii="Times New Roman" w:hAnsi="Times New Roman"/>
          <w:sz w:val="28"/>
          <w:szCs w:val="28"/>
        </w:rPr>
        <w:t xml:space="preserve"> чел./1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/720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дисциплины «Сестринский уход за пациентами хирургического профиля» – 1</w:t>
      </w:r>
      <w:r>
        <w:rPr>
          <w:rFonts w:ascii="Times New Roman" w:hAnsi="Times New Roman"/>
          <w:sz w:val="28"/>
          <w:szCs w:val="28"/>
        </w:rPr>
        <w:t xml:space="preserve"> чел./1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/720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дисциплины «Сестринский уход за пациентами педиатрического профиля» – 1</w:t>
      </w:r>
      <w:r>
        <w:rPr>
          <w:rFonts w:ascii="Times New Roman" w:hAnsi="Times New Roman"/>
          <w:sz w:val="28"/>
          <w:szCs w:val="28"/>
        </w:rPr>
        <w:t xml:space="preserve"> чел./1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/720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дисциплины «Лечение пациентов неврологического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психиатрического профиля» – 1</w:t>
      </w:r>
      <w:r>
        <w:rPr>
          <w:rFonts w:ascii="Times New Roman" w:hAnsi="Times New Roman"/>
          <w:sz w:val="28"/>
          <w:szCs w:val="28"/>
        </w:rPr>
        <w:t xml:space="preserve"> чел./1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/720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дисциплины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Строительство автомобильных дорог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аэродромов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чел./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2160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дисциплины «Строительство зданий и сооружений» – 3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чел./3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/2160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преподаватель дисциплины «Архитектура» – 3</w:t>
      </w:r>
      <w:r>
        <w:rPr>
          <w:rFonts w:ascii="Times New Roman" w:hAnsi="Times New Roman"/>
          <w:sz w:val="28"/>
          <w:szCs w:val="28"/>
        </w:rPr>
        <w:t xml:space="preserve"> чел./3 ставок/2160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мастер производственного обучения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дисциплины «Теоретическая подготовка водителей категории В» – 1</w:t>
      </w:r>
      <w:r>
        <w:rPr>
          <w:rFonts w:ascii="Times New Roman" w:hAnsi="Times New Roman"/>
          <w:sz w:val="28"/>
          <w:szCs w:val="28"/>
        </w:rPr>
        <w:t xml:space="preserve"> чел./1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/1080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мастер производственного обучения кулинарного отделения – 3</w:t>
      </w:r>
      <w:r>
        <w:rPr>
          <w:rFonts w:ascii="Times New Roman" w:hAnsi="Times New Roman"/>
          <w:sz w:val="28"/>
          <w:szCs w:val="28"/>
        </w:rPr>
        <w:t xml:space="preserve"> чел./3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3240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мастер производственного обучения торгового отделения – 2</w:t>
      </w:r>
      <w:r>
        <w:rPr>
          <w:rFonts w:ascii="Times New Roman" w:hAnsi="Times New Roman"/>
          <w:sz w:val="28"/>
          <w:szCs w:val="28"/>
        </w:rPr>
        <w:t xml:space="preserve"> чел./2 став</w:t>
      </w:r>
      <w:r>
        <w:rPr>
          <w:rFonts w:ascii="Times New Roman" w:hAnsi="Times New Roman"/>
          <w:sz w:val="28"/>
          <w:szCs w:val="28"/>
        </w:rPr>
        <w:t xml:space="preserve">ки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2160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230"/>
        </w:tabs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мастер п/о по профессии 54.01.01 «Исполнитель художественно-оформительских работ» – 1</w:t>
      </w:r>
      <w:r>
        <w:rPr>
          <w:rFonts w:ascii="Times New Roman" w:hAnsi="Times New Roman"/>
          <w:sz w:val="28"/>
          <w:szCs w:val="28"/>
        </w:rPr>
        <w:t xml:space="preserve"> чел./1 став</w:t>
      </w:r>
      <w:r>
        <w:rPr>
          <w:rFonts w:ascii="Times New Roman" w:hAnsi="Times New Roman"/>
          <w:sz w:val="28"/>
          <w:szCs w:val="28"/>
        </w:rPr>
        <w:t xml:space="preserve">ка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1080</w:t>
      </w:r>
      <w:r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1 октября 2024 года в </w:t>
      </w:r>
      <w:r>
        <w:rPr>
          <w:rFonts w:ascii="Times New Roman" w:hAnsi="Times New Roman"/>
          <w:sz w:val="28"/>
          <w:szCs w:val="28"/>
        </w:rPr>
        <w:t xml:space="preserve">учреждениях профессионального образовании было 16</w:t>
      </w:r>
      <w:r>
        <w:rPr>
          <w:rFonts w:ascii="Times New Roman" w:hAnsi="Times New Roman"/>
          <w:sz w:val="28"/>
          <w:szCs w:val="28"/>
        </w:rPr>
        <w:t xml:space="preserve"> молодых педагогов; на 1 июня 2025 года стало</w:t>
      </w:r>
      <w:r>
        <w:rPr>
          <w:rFonts w:ascii="Times New Roman" w:hAnsi="Times New Roman"/>
          <w:sz w:val="28"/>
          <w:szCs w:val="28"/>
        </w:rPr>
        <w:t xml:space="preserve"> 18 человек </w:t>
      </w:r>
      <w:r>
        <w:rPr>
          <w:rFonts w:ascii="Times New Roman" w:hAnsi="Times New Roman"/>
          <w:sz w:val="28"/>
          <w:szCs w:val="28"/>
          <w:highlight w:val="white"/>
        </w:rPr>
        <w:t xml:space="preserve">(далее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– </w:t>
      </w:r>
      <w:r>
        <w:rPr>
          <w:rFonts w:ascii="Times New Roman" w:hAnsi="Times New Roman"/>
          <w:sz w:val="28"/>
          <w:szCs w:val="28"/>
          <w:highlight w:val="white"/>
        </w:rPr>
        <w:t xml:space="preserve">16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8"/>
          <w:szCs w:val="28"/>
          <w:highlight w:val="white"/>
        </w:rPr>
        <w:t xml:space="preserve">/18)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что свидетельствует о 112,5 % з</w:t>
      </w:r>
      <w:r>
        <w:rPr>
          <w:rFonts w:ascii="Times New Roman" w:hAnsi="Times New Roman"/>
          <w:sz w:val="28"/>
          <w:szCs w:val="28"/>
        </w:rPr>
        <w:t xml:space="preserve">акрепления,</w:t>
      </w:r>
      <w:r>
        <w:rPr>
          <w:rFonts w:ascii="Times New Roman" w:hAnsi="Times New Roman"/>
          <w:sz w:val="28"/>
          <w:szCs w:val="28"/>
        </w:rPr>
        <w:t xml:space="preserve"> из них: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преподаватель – 12/12;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советник директора по воспитанию – 1/1;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методист – 1/1;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мастер производственного обучения – 2/3;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тьютор – 0/1.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Наибольшее количество молодых педагогов закрепилось в ГБОУ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СевМК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12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Более подробно распределение вакансий отражено в приложении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Excel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Вакансии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+Молодые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июн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года».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</w:r>
      <w:r>
        <w:rPr>
          <w:rFonts w:ascii="Calibri" w:hAnsi="Calibri" w:eastAsia="Times New Roman" w:cs="Times New Roman"/>
        </w:rPr>
      </w:r>
      <w:r>
        <w:rPr>
          <w:rFonts w:ascii="Calibri" w:hAnsi="Calibri" w:eastAsia="Times New Roman" w:cs="Times New Roman"/>
        </w:rPr>
      </w:r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6838" w:orient="landscape" w:w="11906"/>
      <w:pgMar w:top="1134" w:right="566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pBdr/>
      <w:spacing/>
      <w:ind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9"/>
    <w:next w:val="849"/>
    <w:link w:val="67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50"/>
    <w:link w:val="6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849"/>
    <w:next w:val="849"/>
    <w:link w:val="67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50"/>
    <w:link w:val="67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76">
    <w:name w:val="Heading 3"/>
    <w:basedOn w:val="849"/>
    <w:next w:val="849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50"/>
    <w:link w:val="67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849"/>
    <w:next w:val="849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50"/>
    <w:link w:val="6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9"/>
    <w:next w:val="849"/>
    <w:link w:val="6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50"/>
    <w:link w:val="6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9"/>
    <w:next w:val="849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50"/>
    <w:link w:val="68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9"/>
    <w:next w:val="849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50"/>
    <w:link w:val="68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9"/>
    <w:next w:val="849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50"/>
    <w:link w:val="68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9"/>
    <w:next w:val="849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50"/>
    <w:link w:val="68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49"/>
    <w:uiPriority w:val="34"/>
    <w:qFormat/>
    <w:pPr>
      <w:pBdr/>
      <w:spacing/>
      <w:ind w:left="720"/>
      <w:contextualSpacing w:val="true"/>
    </w:pPr>
  </w:style>
  <w:style w:type="paragraph" w:styleId="691">
    <w:name w:val="No Spacing"/>
    <w:uiPriority w:val="1"/>
    <w:qFormat/>
    <w:pPr>
      <w:pBdr/>
      <w:spacing w:after="0" w:before="0" w:line="240" w:lineRule="auto"/>
      <w:ind/>
    </w:pPr>
  </w:style>
  <w:style w:type="paragraph" w:styleId="692">
    <w:name w:val="Title"/>
    <w:basedOn w:val="849"/>
    <w:next w:val="849"/>
    <w:link w:val="6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3">
    <w:name w:val="Title Char"/>
    <w:basedOn w:val="850"/>
    <w:link w:val="692"/>
    <w:uiPriority w:val="10"/>
    <w:pPr>
      <w:pBdr/>
      <w:spacing/>
      <w:ind/>
    </w:pPr>
    <w:rPr>
      <w:sz w:val="48"/>
      <w:szCs w:val="48"/>
    </w:rPr>
  </w:style>
  <w:style w:type="paragraph" w:styleId="694">
    <w:name w:val="Subtitle"/>
    <w:basedOn w:val="849"/>
    <w:next w:val="849"/>
    <w:link w:val="6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pPr>
      <w:pBdr/>
      <w:spacing/>
      <w:ind/>
    </w:pPr>
    <w:rPr>
      <w:sz w:val="24"/>
      <w:szCs w:val="24"/>
    </w:rPr>
  </w:style>
  <w:style w:type="paragraph" w:styleId="696">
    <w:name w:val="Quote"/>
    <w:basedOn w:val="849"/>
    <w:next w:val="849"/>
    <w:link w:val="697"/>
    <w:uiPriority w:val="29"/>
    <w:qFormat/>
    <w:pPr>
      <w:pBdr/>
      <w:spacing/>
      <w:ind w:right="720" w:left="720"/>
    </w:pPr>
    <w:rPr>
      <w:i/>
    </w:rPr>
  </w:style>
  <w:style w:type="character" w:styleId="697">
    <w:name w:val="Quote Char"/>
    <w:link w:val="696"/>
    <w:uiPriority w:val="29"/>
    <w:pPr>
      <w:pBdr/>
      <w:spacing/>
      <w:ind/>
    </w:pPr>
    <w:rPr>
      <w:i/>
    </w:rPr>
  </w:style>
  <w:style w:type="paragraph" w:styleId="698">
    <w:name w:val="Intense Quote"/>
    <w:basedOn w:val="849"/>
    <w:next w:val="849"/>
    <w:link w:val="6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99">
    <w:name w:val="Intense Quote Char"/>
    <w:link w:val="698"/>
    <w:uiPriority w:val="30"/>
    <w:pPr>
      <w:pBdr/>
      <w:spacing/>
      <w:ind/>
    </w:pPr>
    <w:rPr>
      <w:i/>
    </w:rPr>
  </w:style>
  <w:style w:type="paragraph" w:styleId="700">
    <w:name w:val="Header"/>
    <w:basedOn w:val="849"/>
    <w:link w:val="7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1">
    <w:name w:val="Header Char"/>
    <w:basedOn w:val="850"/>
    <w:link w:val="700"/>
    <w:uiPriority w:val="99"/>
    <w:pPr>
      <w:pBdr/>
      <w:spacing/>
      <w:ind/>
    </w:pPr>
  </w:style>
  <w:style w:type="character" w:styleId="702">
    <w:name w:val="Footer Char"/>
    <w:basedOn w:val="850"/>
    <w:link w:val="853"/>
    <w:uiPriority w:val="99"/>
    <w:pPr>
      <w:pBdr/>
      <w:spacing/>
      <w:ind/>
    </w:pPr>
  </w:style>
  <w:style w:type="paragraph" w:styleId="703">
    <w:name w:val="Caption"/>
    <w:basedOn w:val="849"/>
    <w:next w:val="8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3"/>
    <w:uiPriority w:val="99"/>
    <w:pPr>
      <w:pBdr/>
      <w:spacing/>
      <w:ind/>
    </w:pPr>
  </w:style>
  <w:style w:type="table" w:styleId="705">
    <w:name w:val="Table Grid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5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33">
    <w:name w:val="Footnote Text Char"/>
    <w:link w:val="832"/>
    <w:uiPriority w:val="99"/>
    <w:pPr>
      <w:pBdr/>
      <w:spacing/>
      <w:ind/>
    </w:pPr>
    <w:rPr>
      <w:sz w:val="18"/>
    </w:rPr>
  </w:style>
  <w:style w:type="character" w:styleId="834">
    <w:name w:val="footnote reference"/>
    <w:basedOn w:val="850"/>
    <w:uiPriority w:val="99"/>
    <w:unhideWhenUsed/>
    <w:pPr>
      <w:pBdr/>
      <w:spacing/>
      <w:ind/>
    </w:pPr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6">
    <w:name w:val="Endnote Text Char"/>
    <w:link w:val="835"/>
    <w:uiPriority w:val="99"/>
    <w:pPr>
      <w:pBdr/>
      <w:spacing/>
      <w:ind/>
    </w:pPr>
    <w:rPr>
      <w:sz w:val="20"/>
    </w:rPr>
  </w:style>
  <w:style w:type="character" w:styleId="837">
    <w:name w:val="endnote reference"/>
    <w:basedOn w:val="850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pBdr/>
      <w:spacing w:after="57"/>
      <w:ind w:right="0" w:firstLine="0" w:left="0"/>
    </w:pPr>
  </w:style>
  <w:style w:type="paragraph" w:styleId="839">
    <w:name w:val="toc 2"/>
    <w:basedOn w:val="849"/>
    <w:next w:val="849"/>
    <w:uiPriority w:val="39"/>
    <w:unhideWhenUsed/>
    <w:pPr>
      <w:pBdr/>
      <w:spacing w:after="57"/>
      <w:ind w:right="0" w:firstLine="0" w:left="283"/>
    </w:pPr>
  </w:style>
  <w:style w:type="paragraph" w:styleId="840">
    <w:name w:val="toc 3"/>
    <w:basedOn w:val="849"/>
    <w:next w:val="849"/>
    <w:uiPriority w:val="39"/>
    <w:unhideWhenUsed/>
    <w:pPr>
      <w:pBdr/>
      <w:spacing w:after="57"/>
      <w:ind w:right="0" w:firstLine="0" w:left="567"/>
    </w:pPr>
  </w:style>
  <w:style w:type="paragraph" w:styleId="841">
    <w:name w:val="toc 4"/>
    <w:basedOn w:val="849"/>
    <w:next w:val="849"/>
    <w:uiPriority w:val="39"/>
    <w:unhideWhenUsed/>
    <w:pPr>
      <w:pBdr/>
      <w:spacing w:after="57"/>
      <w:ind w:right="0" w:firstLine="0" w:left="850"/>
    </w:pPr>
  </w:style>
  <w:style w:type="paragraph" w:styleId="842">
    <w:name w:val="toc 5"/>
    <w:basedOn w:val="849"/>
    <w:next w:val="849"/>
    <w:uiPriority w:val="39"/>
    <w:unhideWhenUsed/>
    <w:pPr>
      <w:pBdr/>
      <w:spacing w:after="57"/>
      <w:ind w:right="0" w:firstLine="0" w:left="1134"/>
    </w:pPr>
  </w:style>
  <w:style w:type="paragraph" w:styleId="843">
    <w:name w:val="toc 6"/>
    <w:basedOn w:val="849"/>
    <w:next w:val="849"/>
    <w:uiPriority w:val="39"/>
    <w:unhideWhenUsed/>
    <w:pPr>
      <w:pBdr/>
      <w:spacing w:after="57"/>
      <w:ind w:right="0" w:firstLine="0" w:left="1417"/>
    </w:pPr>
  </w:style>
  <w:style w:type="paragraph" w:styleId="844">
    <w:name w:val="toc 7"/>
    <w:basedOn w:val="849"/>
    <w:next w:val="849"/>
    <w:uiPriority w:val="39"/>
    <w:unhideWhenUsed/>
    <w:pPr>
      <w:pBdr/>
      <w:spacing w:after="57"/>
      <w:ind w:right="0" w:firstLine="0" w:left="1701"/>
    </w:pPr>
  </w:style>
  <w:style w:type="paragraph" w:styleId="845">
    <w:name w:val="toc 8"/>
    <w:basedOn w:val="849"/>
    <w:next w:val="849"/>
    <w:uiPriority w:val="39"/>
    <w:unhideWhenUsed/>
    <w:pPr>
      <w:pBdr/>
      <w:spacing w:after="57"/>
      <w:ind w:right="0" w:firstLine="0" w:left="1984"/>
    </w:pPr>
  </w:style>
  <w:style w:type="paragraph" w:styleId="846">
    <w:name w:val="toc 9"/>
    <w:basedOn w:val="849"/>
    <w:next w:val="849"/>
    <w:uiPriority w:val="39"/>
    <w:unhideWhenUsed/>
    <w:pPr>
      <w:pBdr/>
      <w:spacing w:after="57"/>
      <w:ind w:right="0" w:firstLine="0" w:left="2268"/>
    </w:pPr>
  </w:style>
  <w:style w:type="paragraph" w:styleId="847">
    <w:name w:val="TOC Heading"/>
    <w:uiPriority w:val="39"/>
    <w:unhideWhenUsed/>
    <w:pPr>
      <w:pBdr/>
      <w:spacing/>
      <w:ind/>
    </w:pPr>
  </w:style>
  <w:style w:type="paragraph" w:styleId="848">
    <w:name w:val="table of figures"/>
    <w:basedOn w:val="849"/>
    <w:next w:val="849"/>
    <w:uiPriority w:val="99"/>
    <w:unhideWhenUsed/>
    <w:pPr>
      <w:pBdr/>
      <w:spacing w:after="0" w:afterAutospacing="0"/>
      <w:ind/>
    </w:pPr>
  </w:style>
  <w:style w:type="paragraph" w:styleId="849" w:default="1">
    <w:name w:val="Normal"/>
    <w:qFormat/>
    <w:pPr>
      <w:pBdr/>
      <w:spacing/>
      <w:ind/>
    </w:pPr>
  </w:style>
  <w:style w:type="character" w:styleId="850" w:default="1">
    <w:name w:val="Default Paragraph Font"/>
    <w:uiPriority w:val="1"/>
    <w:semiHidden/>
    <w:unhideWhenUsed/>
    <w:pPr>
      <w:pBdr/>
      <w:spacing/>
      <w:ind/>
    </w:pPr>
  </w:style>
  <w:style w:type="table" w:styleId="85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2" w:default="1">
    <w:name w:val="No List"/>
    <w:uiPriority w:val="99"/>
    <w:semiHidden/>
    <w:unhideWhenUsed/>
    <w:pPr>
      <w:pBdr/>
      <w:spacing/>
      <w:ind/>
    </w:pPr>
  </w:style>
  <w:style w:type="paragraph" w:styleId="853">
    <w:name w:val="Footer"/>
    <w:basedOn w:val="849"/>
    <w:link w:val="854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54" w:customStyle="1">
    <w:name w:val="Нижний колонтитул Знак"/>
    <w:basedOn w:val="850"/>
    <w:link w:val="853"/>
    <w:uiPriority w:val="99"/>
    <w:semiHidden/>
    <w:pPr>
      <w:pBdr/>
      <w:spacing/>
      <w:ind/>
    </w:pPr>
  </w:style>
  <w:style w:type="paragraph" w:styleId="855">
    <w:name w:val="Balloon Text"/>
    <w:basedOn w:val="849"/>
    <w:link w:val="85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850"/>
    <w:link w:val="85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revision>23</cp:revision>
  <dcterms:created xsi:type="dcterms:W3CDTF">2022-10-10T11:26:00Z</dcterms:created>
  <dcterms:modified xsi:type="dcterms:W3CDTF">2025-06-18T09:43:25Z</dcterms:modified>
</cp:coreProperties>
</file>